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4BF5D" w14:textId="77777777" w:rsidR="00E23761" w:rsidRPr="00D168C3" w:rsidRDefault="00E23761" w:rsidP="00AF188C">
      <w:pPr>
        <w:jc w:val="both"/>
        <w:rPr>
          <w:rFonts w:cs="Arial"/>
          <w:b/>
          <w:bCs/>
        </w:rPr>
      </w:pPr>
      <w:r w:rsidRPr="00D168C3">
        <w:rPr>
          <w:rFonts w:cs="Arial"/>
          <w:b/>
          <w:bCs/>
        </w:rPr>
        <w:t xml:space="preserve">Begründung: </w:t>
      </w:r>
    </w:p>
    <w:p w14:paraId="1EFE102E" w14:textId="77777777" w:rsidR="0078418E" w:rsidRPr="00D168C3" w:rsidRDefault="00E23761" w:rsidP="00AF188C">
      <w:pPr>
        <w:jc w:val="both"/>
        <w:rPr>
          <w:rFonts w:cs="Arial"/>
          <w:b/>
          <w:bCs/>
        </w:rPr>
      </w:pPr>
      <w:r w:rsidRPr="00D168C3">
        <w:rPr>
          <w:rFonts w:cs="Arial"/>
          <w:b/>
          <w:bCs/>
        </w:rPr>
        <w:t>A. Allgemeiner Teil</w:t>
      </w:r>
    </w:p>
    <w:p w14:paraId="0220D923" w14:textId="01AAE64F" w:rsidR="00E23761" w:rsidRPr="00D168C3" w:rsidRDefault="0078418E" w:rsidP="00AF188C">
      <w:pPr>
        <w:pStyle w:val="Listenabsatz"/>
        <w:numPr>
          <w:ilvl w:val="0"/>
          <w:numId w:val="1"/>
        </w:numPr>
        <w:jc w:val="both"/>
        <w:rPr>
          <w:rFonts w:cs="Arial"/>
          <w:b/>
          <w:bCs/>
        </w:rPr>
      </w:pPr>
      <w:r w:rsidRPr="00D168C3">
        <w:rPr>
          <w:rFonts w:cs="Arial"/>
          <w:b/>
          <w:bCs/>
        </w:rPr>
        <w:t>Zielsetzung und Anlass des Gesetzes</w:t>
      </w:r>
    </w:p>
    <w:p w14:paraId="74B896BF" w14:textId="652E8FB5" w:rsidR="00F470A1" w:rsidRPr="00D168C3" w:rsidRDefault="00F470A1" w:rsidP="00AF188C">
      <w:pPr>
        <w:spacing w:after="0"/>
        <w:jc w:val="both"/>
        <w:rPr>
          <w:rFonts w:cs="Arial"/>
        </w:rPr>
      </w:pPr>
      <w:r w:rsidRPr="00D168C3">
        <w:rPr>
          <w:rFonts w:cs="Arial"/>
        </w:rPr>
        <w:t>Ziel des Gesetzes ist es, bürokratische Belastungen für Bürgerinnen und Bürger, Wirtschaft und Verwaltung systematisch zu reduzieren sowie Verwaltungsverfahren zu vereinfachen und zu beschleunigen, ohne dabei die rechtsstaatlichen Grundsätze des Verwaltungshandelns zu beeinträchtigen. Die Leistungsfähigkeit der öffentlichen Verwaltung, ihre Serviceorientierung sowie die Attraktivität des Landes Mecklenburg-Vorpommern als Wirtschafts- und Lebensstandort sollen nachhaltig gestärkt werden.</w:t>
      </w:r>
    </w:p>
    <w:p w14:paraId="464C108F" w14:textId="77777777" w:rsidR="00F470A1" w:rsidRPr="00D168C3" w:rsidRDefault="00F470A1" w:rsidP="00AF188C">
      <w:pPr>
        <w:spacing w:after="0"/>
        <w:jc w:val="both"/>
        <w:rPr>
          <w:rFonts w:cs="Arial"/>
        </w:rPr>
      </w:pPr>
    </w:p>
    <w:p w14:paraId="7B37AACE" w14:textId="6F2416D0" w:rsidR="00F470A1" w:rsidRPr="00D168C3" w:rsidRDefault="00F470A1" w:rsidP="00AF188C">
      <w:pPr>
        <w:spacing w:after="0"/>
        <w:jc w:val="both"/>
        <w:rPr>
          <w:rFonts w:cs="Arial"/>
        </w:rPr>
      </w:pPr>
      <w:r w:rsidRPr="00D168C3">
        <w:rPr>
          <w:rFonts w:cs="Arial"/>
        </w:rPr>
        <w:t>Der bestehende Rechtsrahmen enthält in zahlreichen Fachgesetzen formelle Anforderungen, Verfahrensschritte, Genehmigungsvorbehalte und Nachweispflichten, die historisch gewachsen sind und jeweils für sich betrachtet sachlich gerechtfertigt sein mögen, in ihrer Gesamtheit jedoch zu einer erheblichen Verdichtung bürokratischer Vorgaben geführt haben. In der Praxis zeigt sich, dass diese Regelungsdichte vielfach zu langen Verfahrensdauern, hohem Verwaltungsaufwand und einer eingeschränkten Nachvollziehbarkeit staatlichen Handelns führt.</w:t>
      </w:r>
    </w:p>
    <w:p w14:paraId="568C13BC" w14:textId="77777777" w:rsidR="00F470A1" w:rsidRPr="00D168C3" w:rsidRDefault="00F470A1" w:rsidP="00AF188C">
      <w:pPr>
        <w:spacing w:after="0"/>
        <w:jc w:val="both"/>
        <w:rPr>
          <w:rFonts w:cs="Arial"/>
        </w:rPr>
      </w:pPr>
    </w:p>
    <w:p w14:paraId="29D8F3C2" w14:textId="56DDFBF8" w:rsidR="00F470A1" w:rsidRPr="00D168C3" w:rsidRDefault="00F470A1" w:rsidP="00AF188C">
      <w:pPr>
        <w:spacing w:after="0"/>
        <w:jc w:val="both"/>
        <w:rPr>
          <w:rFonts w:cs="Arial"/>
        </w:rPr>
      </w:pPr>
      <w:r w:rsidRPr="00D168C3">
        <w:rPr>
          <w:rFonts w:cs="Arial"/>
        </w:rPr>
        <w:t>Dies betrifft insbesondere kleine und mittlere Unternehmen, die nicht über spezialisierte Verwaltungs- oder Rechtsabteilungen verfügen, ebenso wie Bürgerinnen und Bürger, für die komplexe Verfahren und formalisierte Antragserfordernisse eine erhebliche Zugangshürde zu staatlichen Leistungen darstellen können. Zugleich bindet die Erfüllung formeller Anforderungen in der Verwaltung erhebliche personelle Ressourcen, die für inhaltliche Aufgaben, Beratung und Steuerung fehlen.</w:t>
      </w:r>
    </w:p>
    <w:p w14:paraId="1D184FC8" w14:textId="77777777" w:rsidR="00F470A1" w:rsidRPr="00D168C3" w:rsidRDefault="00F470A1" w:rsidP="00AF188C">
      <w:pPr>
        <w:spacing w:after="0"/>
        <w:jc w:val="both"/>
        <w:rPr>
          <w:rFonts w:cs="Arial"/>
        </w:rPr>
      </w:pPr>
    </w:p>
    <w:p w14:paraId="4258F024" w14:textId="48B97AB5" w:rsidR="00F470A1" w:rsidRPr="00D168C3" w:rsidRDefault="00F470A1" w:rsidP="00AF188C">
      <w:pPr>
        <w:spacing w:after="0"/>
        <w:jc w:val="both"/>
        <w:rPr>
          <w:rFonts w:cs="Arial"/>
        </w:rPr>
      </w:pPr>
      <w:r w:rsidRPr="00D168C3">
        <w:rPr>
          <w:rFonts w:cs="Arial"/>
        </w:rPr>
        <w:t>Vor dem Hintergrund des demografischen Wandels, des Fachkräftemangels in der öffentlichen Verwaltung und steigender Aufgabenlast besteht ein gesteigerter Handlungsbedarf, Verwaltungsverfahren effizienter auszugestalten und rechtliche Vorgaben auf ihre Erforderlichkeit und Angemessenheit zu überprüfen. Bürokratieabbau ist dabei nicht als Abbau von Rechtsstaatlichkeit zu verstehen, sondern als gezielte Optimierung staatlicher Steuerung unter Wahrung von Rechtssicherheit, Transparenz und Gleichbehandlung.</w:t>
      </w:r>
    </w:p>
    <w:p w14:paraId="0EA53D6F" w14:textId="77777777" w:rsidR="00F470A1" w:rsidRPr="00D168C3" w:rsidRDefault="00F470A1" w:rsidP="00AF188C">
      <w:pPr>
        <w:spacing w:after="0"/>
        <w:jc w:val="both"/>
        <w:rPr>
          <w:rFonts w:cs="Arial"/>
        </w:rPr>
      </w:pPr>
    </w:p>
    <w:p w14:paraId="6E80F917" w14:textId="63000161" w:rsidR="0078418E" w:rsidRPr="00D168C3" w:rsidRDefault="0078418E" w:rsidP="00AF188C">
      <w:pPr>
        <w:pStyle w:val="Listenabsatz"/>
        <w:numPr>
          <w:ilvl w:val="0"/>
          <w:numId w:val="1"/>
        </w:numPr>
        <w:jc w:val="both"/>
        <w:rPr>
          <w:rFonts w:cs="Arial"/>
          <w:b/>
          <w:bCs/>
        </w:rPr>
      </w:pPr>
      <w:r w:rsidRPr="00D168C3">
        <w:rPr>
          <w:rFonts w:cs="Arial"/>
          <w:b/>
          <w:bCs/>
        </w:rPr>
        <w:t>Wesentlicher Inhalt des Gesetzes</w:t>
      </w:r>
    </w:p>
    <w:p w14:paraId="113CAA75" w14:textId="77777777" w:rsidR="00F470A1" w:rsidRPr="00D168C3" w:rsidRDefault="00F470A1" w:rsidP="00AF188C">
      <w:pPr>
        <w:jc w:val="both"/>
        <w:rPr>
          <w:rFonts w:cs="Arial"/>
        </w:rPr>
      </w:pPr>
      <w:r w:rsidRPr="00D168C3">
        <w:rPr>
          <w:rFonts w:cs="Arial"/>
        </w:rPr>
        <w:t>Zur Erreichung der gesetzten Ziele wird ein Artikelgesetz vorgelegt, das eine gebündelte Änderung zahlreicher landesrechtlicher Vorschriften vorsieht. Das Instrument des Artikelgesetzes ermöglicht es, in einem einheitlichen Regelungsvorhaben fachgesetzliche Einzelanpassungen vorzunehmen, diese aufeinander abzustimmen und strukturell kohärent weiterzuentwickeln.</w:t>
      </w:r>
    </w:p>
    <w:p w14:paraId="6032CFF6" w14:textId="68378DC4" w:rsidR="00F470A1" w:rsidRPr="00D168C3" w:rsidRDefault="00F470A1" w:rsidP="00AF188C">
      <w:pPr>
        <w:spacing w:after="0"/>
        <w:jc w:val="both"/>
        <w:rPr>
          <w:rFonts w:cs="Arial"/>
        </w:rPr>
      </w:pPr>
      <w:r w:rsidRPr="00D168C3">
        <w:rPr>
          <w:rFonts w:cs="Arial"/>
        </w:rPr>
        <w:t>Das Gesetz verfolgt insbesondere folgende übergreifende Regelungsansätze:</w:t>
      </w:r>
    </w:p>
    <w:p w14:paraId="15DF7E56" w14:textId="77777777" w:rsidR="001E5794" w:rsidRPr="00D168C3" w:rsidRDefault="001E5794" w:rsidP="00AF188C">
      <w:pPr>
        <w:numPr>
          <w:ilvl w:val="0"/>
          <w:numId w:val="2"/>
        </w:numPr>
        <w:jc w:val="both"/>
        <w:rPr>
          <w:rFonts w:cs="Arial"/>
        </w:rPr>
      </w:pPr>
      <w:r w:rsidRPr="00D168C3">
        <w:rPr>
          <w:rFonts w:cs="Arial"/>
        </w:rPr>
        <w:t>Vereinfachung und Beschleunigung von Verwaltungsverfahren, insbesondere durch den Abbau entbehrlicher Verfahrensschritte, die Straffung von Beteiligungs- und Anhörungsverfahren sowie die Reduzierung von Formerfordernissen;</w:t>
      </w:r>
    </w:p>
    <w:p w14:paraId="39FE53BA" w14:textId="77777777" w:rsidR="001E5794" w:rsidRPr="00D168C3" w:rsidRDefault="001E5794" w:rsidP="00AF188C">
      <w:pPr>
        <w:jc w:val="both"/>
        <w:rPr>
          <w:rFonts w:cs="Arial"/>
        </w:rPr>
      </w:pPr>
    </w:p>
    <w:p w14:paraId="3D53635A" w14:textId="77777777" w:rsidR="001E5794" w:rsidRPr="00D168C3" w:rsidRDefault="001E5794" w:rsidP="00AF188C">
      <w:pPr>
        <w:numPr>
          <w:ilvl w:val="0"/>
          <w:numId w:val="2"/>
        </w:numPr>
        <w:jc w:val="both"/>
        <w:rPr>
          <w:rFonts w:cs="Arial"/>
        </w:rPr>
      </w:pPr>
      <w:r w:rsidRPr="00D168C3">
        <w:rPr>
          <w:rFonts w:cs="Arial"/>
        </w:rPr>
        <w:lastRenderedPageBreak/>
        <w:t>Stärkung digitaler Verwaltungsverfahren, insbesondere durch die konsequente Nutzung elektronischer Kommunikation, elektronischer Bekanntmachungen und digitaler Einreichungs- und Beteiligungsformate;</w:t>
      </w:r>
    </w:p>
    <w:p w14:paraId="307732F0" w14:textId="32BDFB03" w:rsidR="001E5794" w:rsidRPr="00D168C3" w:rsidRDefault="001E5794" w:rsidP="00AF188C">
      <w:pPr>
        <w:numPr>
          <w:ilvl w:val="0"/>
          <w:numId w:val="2"/>
        </w:numPr>
        <w:jc w:val="both"/>
        <w:rPr>
          <w:rFonts w:cs="Arial"/>
        </w:rPr>
      </w:pPr>
      <w:r w:rsidRPr="00D168C3">
        <w:rPr>
          <w:rFonts w:cs="Arial"/>
        </w:rPr>
        <w:t>Reduzierung von Genehmigungs- und Anzeigeerfordernissen sowie eine klarere Abgrenzung der Fälle, in denen Genehmigungsfiktionen ausgeschlossen sind, um Rechtsklarheit und Vollzugssicherheit zu gewährleisten;</w:t>
      </w:r>
    </w:p>
    <w:p w14:paraId="099AF728" w14:textId="2D4E7C32" w:rsidR="001E5794" w:rsidRPr="00D168C3" w:rsidRDefault="001E5794" w:rsidP="00AF188C">
      <w:pPr>
        <w:pStyle w:val="Listenabsatz"/>
        <w:numPr>
          <w:ilvl w:val="0"/>
          <w:numId w:val="2"/>
        </w:numPr>
        <w:spacing w:line="240" w:lineRule="auto"/>
        <w:contextualSpacing w:val="0"/>
        <w:jc w:val="both"/>
        <w:rPr>
          <w:rFonts w:cs="Arial"/>
        </w:rPr>
      </w:pPr>
      <w:r w:rsidRPr="00D168C3">
        <w:rPr>
          <w:rFonts w:cs="Arial"/>
        </w:rPr>
        <w:t>Rechtsbereinigung, insbesondere durch die Aufhebung obsoleter Vorschriften;</w:t>
      </w:r>
    </w:p>
    <w:p w14:paraId="1908690A" w14:textId="77777777" w:rsidR="001E5794" w:rsidRPr="00D168C3" w:rsidRDefault="001E5794" w:rsidP="00AF188C">
      <w:pPr>
        <w:pStyle w:val="Listenabsatz"/>
        <w:numPr>
          <w:ilvl w:val="0"/>
          <w:numId w:val="2"/>
        </w:numPr>
        <w:spacing w:line="240" w:lineRule="auto"/>
        <w:contextualSpacing w:val="0"/>
        <w:jc w:val="both"/>
        <w:rPr>
          <w:rFonts w:cs="Arial"/>
        </w:rPr>
      </w:pPr>
      <w:r w:rsidRPr="00D168C3">
        <w:rPr>
          <w:rFonts w:cs="Arial"/>
        </w:rPr>
        <w:t>Entlastung von Bürgerinnen und Bürgern sowie Unternehmen, etwa durch die Absenkung formaler Anforderungen, die Erleichterung des Zugangs zu Verwaltungsverfahren und die Reduzierung von Nachweis- und Dokumentationspflichten.</w:t>
      </w:r>
    </w:p>
    <w:p w14:paraId="0AC14A07" w14:textId="1B7B5370" w:rsidR="00F470A1" w:rsidRPr="00D168C3" w:rsidRDefault="001E5794" w:rsidP="00AF188C">
      <w:pPr>
        <w:spacing w:after="0"/>
        <w:jc w:val="both"/>
        <w:rPr>
          <w:rFonts w:cs="Arial"/>
        </w:rPr>
      </w:pPr>
      <w:r w:rsidRPr="00D168C3">
        <w:rPr>
          <w:rFonts w:cs="Arial"/>
        </w:rPr>
        <w:t>Die Änderungen betreffen eine Vielzahl unterschiedlicher Rechtsbereiche, darunter das allgemeine Verwaltungsverfahrensrecht, kommunalrechtliche Genehmigungs- und Anzeigeverfahren, Fachgesetze mit Genehmigungs- und Erlaubnisvorbehalten sowie Regelungen des Informationszugangs und der elektronischen Verwaltung. Gemeinsam ist diesen Anpassungen das Ziel, Verfahren praxisgerechter auszugestalten, Doppelstrukturen zu vermeiden und den Verwaltungsaufwand auf das erforderliche Maß zu beschränken.</w:t>
      </w:r>
    </w:p>
    <w:p w14:paraId="653CB6A5" w14:textId="77777777" w:rsidR="001E5794" w:rsidRPr="00D168C3" w:rsidRDefault="001E5794" w:rsidP="00AF188C">
      <w:pPr>
        <w:spacing w:after="0"/>
        <w:jc w:val="both"/>
        <w:rPr>
          <w:rFonts w:cs="Arial"/>
        </w:rPr>
      </w:pPr>
    </w:p>
    <w:p w14:paraId="41636D04" w14:textId="00211232" w:rsidR="00F470A1" w:rsidRPr="00D168C3" w:rsidRDefault="00F470A1" w:rsidP="00AF188C">
      <w:pPr>
        <w:pStyle w:val="Listenabsatz"/>
        <w:numPr>
          <w:ilvl w:val="0"/>
          <w:numId w:val="1"/>
        </w:numPr>
        <w:spacing w:after="0"/>
        <w:jc w:val="both"/>
        <w:rPr>
          <w:rFonts w:cs="Arial"/>
          <w:b/>
          <w:bCs/>
        </w:rPr>
      </w:pPr>
      <w:r w:rsidRPr="00D168C3">
        <w:rPr>
          <w:rFonts w:cs="Arial"/>
          <w:b/>
          <w:bCs/>
        </w:rPr>
        <w:t>Vereinbarkeit mit höherrangigem Recht</w:t>
      </w:r>
    </w:p>
    <w:p w14:paraId="0FC3BA72" w14:textId="1119FDD9" w:rsidR="001E5794" w:rsidRPr="00D168C3" w:rsidRDefault="001E5794" w:rsidP="00AF188C">
      <w:pPr>
        <w:spacing w:after="0"/>
        <w:jc w:val="both"/>
        <w:rPr>
          <w:rFonts w:cs="Arial"/>
          <w:b/>
          <w:bCs/>
        </w:rPr>
      </w:pPr>
    </w:p>
    <w:p w14:paraId="4E837D82" w14:textId="77777777" w:rsidR="001E5794" w:rsidRPr="00D168C3" w:rsidRDefault="001E5794" w:rsidP="00AF188C">
      <w:pPr>
        <w:spacing w:after="0"/>
        <w:jc w:val="both"/>
        <w:rPr>
          <w:rFonts w:cs="Arial"/>
        </w:rPr>
      </w:pPr>
      <w:r w:rsidRPr="00D168C3">
        <w:rPr>
          <w:rFonts w:cs="Arial"/>
        </w:rPr>
        <w:t>Das Gesetz steht mit dem Grundgesetz, der Verfassung des Landes Mecklenburg-Vorpommern sowie mit sonstigem höherrangigem Recht in Einklang. Insbesondere wahrt es das Rechtsstaatsprinzip, das Demokratieprinzip sowie die Grundrechte der Bürgerinnen und Bürger.</w:t>
      </w:r>
    </w:p>
    <w:p w14:paraId="2572BC7E" w14:textId="77777777" w:rsidR="001E5794" w:rsidRPr="00D168C3" w:rsidRDefault="001E5794" w:rsidP="00AF188C">
      <w:pPr>
        <w:spacing w:after="0"/>
        <w:jc w:val="both"/>
        <w:rPr>
          <w:rFonts w:cs="Arial"/>
        </w:rPr>
      </w:pPr>
      <w:r w:rsidRPr="00D168C3">
        <w:rPr>
          <w:rFonts w:cs="Arial"/>
        </w:rPr>
        <w:t>Die vorgesehenen Verfahrensvereinfachungen und Digitalisierungsschritte lassen den Anspruch auf rechtliches Gehör, effektiven Rechtsschutz und Transparenz staatlichen Handelns unberührt. Soweit Genehmigungsfiktionen ausgeschlossen oder Verfahrensregelungen angepasst werden, erfolgt dies zur Sicherstellung der Rechtssicherheit, der Einheitlichkeit des Verwaltungsvollzugs und der Vermeidung unbeabsichtigter Rechtsfolgen.</w:t>
      </w:r>
    </w:p>
    <w:p w14:paraId="1E5A06C0" w14:textId="0B26A585" w:rsidR="00F470A1" w:rsidRPr="00D168C3" w:rsidRDefault="001E5794" w:rsidP="00AF188C">
      <w:pPr>
        <w:spacing w:after="0"/>
        <w:jc w:val="both"/>
        <w:rPr>
          <w:rFonts w:cs="Arial"/>
        </w:rPr>
      </w:pPr>
      <w:r w:rsidRPr="00D168C3">
        <w:rPr>
          <w:rFonts w:cs="Arial"/>
        </w:rPr>
        <w:t>Bundesrechtliche Vorgaben, insbesondere solche aus dem Verwaltungsverfahrensrecht, dem Umweltrecht und dem Unionsrecht, werden beachtet. Soweit Anpassungen an geändertes oder fortentwickeltes Bundesrecht erfolgen, dienen diese der Rechtsklarheit und der Sicherstellung eines unions- und bundesrechtskonformen Vollzugs.</w:t>
      </w:r>
    </w:p>
    <w:p w14:paraId="6F2F237E" w14:textId="77777777" w:rsidR="00F470A1" w:rsidRPr="00D168C3" w:rsidRDefault="00F470A1" w:rsidP="00AF188C">
      <w:pPr>
        <w:pStyle w:val="Listenabsatz"/>
        <w:spacing w:after="0"/>
        <w:ind w:left="774"/>
        <w:jc w:val="both"/>
        <w:rPr>
          <w:rFonts w:cs="Arial"/>
          <w:b/>
          <w:bCs/>
        </w:rPr>
      </w:pPr>
    </w:p>
    <w:p w14:paraId="7E717D66" w14:textId="6BCFFDCA" w:rsidR="00F470A1" w:rsidRPr="00D168C3" w:rsidRDefault="00F470A1" w:rsidP="00AF188C">
      <w:pPr>
        <w:pStyle w:val="Listenabsatz"/>
        <w:numPr>
          <w:ilvl w:val="0"/>
          <w:numId w:val="1"/>
        </w:numPr>
        <w:spacing w:after="0"/>
        <w:jc w:val="both"/>
        <w:rPr>
          <w:rFonts w:cs="Arial"/>
          <w:b/>
          <w:bCs/>
        </w:rPr>
      </w:pPr>
      <w:r w:rsidRPr="00D168C3">
        <w:rPr>
          <w:rFonts w:cs="Arial"/>
          <w:b/>
          <w:bCs/>
        </w:rPr>
        <w:t>Gesetzgebungskompetenz</w:t>
      </w:r>
    </w:p>
    <w:p w14:paraId="62E4B028" w14:textId="77777777" w:rsidR="00F470A1" w:rsidRPr="00D168C3" w:rsidRDefault="00F470A1" w:rsidP="00AF188C">
      <w:pPr>
        <w:spacing w:after="0"/>
        <w:jc w:val="both"/>
        <w:rPr>
          <w:rFonts w:cs="Arial"/>
        </w:rPr>
      </w:pPr>
    </w:p>
    <w:p w14:paraId="0C8C87A1" w14:textId="5966BF07" w:rsidR="00F470A1" w:rsidRPr="00D168C3" w:rsidRDefault="001E5794" w:rsidP="00AF188C">
      <w:pPr>
        <w:spacing w:after="0"/>
        <w:jc w:val="both"/>
        <w:rPr>
          <w:rFonts w:cs="Arial"/>
        </w:rPr>
      </w:pPr>
      <w:r w:rsidRPr="00D168C3">
        <w:rPr>
          <w:rFonts w:cs="Arial"/>
        </w:rPr>
        <w:t>Die Gesetzgebungskompetenz des Landes Mecklenburg-Vorpommern ergibt sich aus Artikel 70 Absatz 1 des Grundgesetzes, soweit nicht dem Bund eine ausschließliche oder konkurrierende Gesetzgebungskompetenz zugewiesen ist. Die Änderungen betreffen überwiegend landesrechtliche Ausführungsgesetze, Organisations- und Verfahrensregelungen sowie Bereiche der kommunalen Selbstverwaltung, für die das Land die Gesetzgebungskompetenz hat.</w:t>
      </w:r>
    </w:p>
    <w:p w14:paraId="55BB4FD3" w14:textId="0DF23B28" w:rsidR="001E5794" w:rsidRPr="00D168C3" w:rsidRDefault="001E5794" w:rsidP="00AF188C">
      <w:pPr>
        <w:spacing w:after="0"/>
        <w:jc w:val="both"/>
        <w:rPr>
          <w:rFonts w:cs="Arial"/>
        </w:rPr>
      </w:pPr>
    </w:p>
    <w:p w14:paraId="20D4176B" w14:textId="77777777" w:rsidR="001E5794" w:rsidRPr="00D168C3" w:rsidRDefault="001E5794" w:rsidP="00AF188C">
      <w:pPr>
        <w:spacing w:after="0"/>
        <w:jc w:val="both"/>
        <w:rPr>
          <w:rFonts w:cs="Arial"/>
        </w:rPr>
      </w:pPr>
    </w:p>
    <w:p w14:paraId="70976A17" w14:textId="77777777" w:rsidR="001E5794" w:rsidRPr="00D168C3" w:rsidRDefault="001E5794" w:rsidP="00AF188C">
      <w:pPr>
        <w:spacing w:after="0"/>
        <w:jc w:val="both"/>
        <w:rPr>
          <w:rFonts w:cs="Arial"/>
        </w:rPr>
      </w:pPr>
    </w:p>
    <w:p w14:paraId="063BEB42" w14:textId="5FA7ED0C" w:rsidR="00F470A1" w:rsidRPr="00D168C3" w:rsidRDefault="00F470A1" w:rsidP="00AF188C">
      <w:pPr>
        <w:pStyle w:val="Listenabsatz"/>
        <w:numPr>
          <w:ilvl w:val="0"/>
          <w:numId w:val="1"/>
        </w:numPr>
        <w:spacing w:after="0"/>
        <w:jc w:val="both"/>
        <w:rPr>
          <w:rFonts w:cs="Arial"/>
          <w:b/>
          <w:bCs/>
        </w:rPr>
      </w:pPr>
      <w:r w:rsidRPr="00D168C3">
        <w:rPr>
          <w:rFonts w:cs="Arial"/>
          <w:b/>
          <w:bCs/>
        </w:rPr>
        <w:lastRenderedPageBreak/>
        <w:t>Auswirkungen des Gesetzes</w:t>
      </w:r>
    </w:p>
    <w:p w14:paraId="43BCE631" w14:textId="77777777" w:rsidR="00F470A1" w:rsidRPr="00D168C3" w:rsidRDefault="00F470A1" w:rsidP="00AF188C">
      <w:pPr>
        <w:spacing w:after="0"/>
        <w:jc w:val="both"/>
        <w:rPr>
          <w:rFonts w:cs="Arial"/>
        </w:rPr>
      </w:pPr>
    </w:p>
    <w:p w14:paraId="21C3BBFA" w14:textId="5750F1D1" w:rsidR="001E5794" w:rsidRPr="00D168C3" w:rsidRDefault="001E5794" w:rsidP="00AF188C">
      <w:pPr>
        <w:spacing w:after="0"/>
        <w:jc w:val="both"/>
        <w:rPr>
          <w:rFonts w:cs="Arial"/>
        </w:rPr>
      </w:pPr>
      <w:r w:rsidRPr="00D168C3">
        <w:rPr>
          <w:rFonts w:cs="Arial"/>
        </w:rPr>
        <w:t>Das Gesetz trägt zur Entlastung von Bürgerinnen und Bürgern, Wirtschaft, sonstiger Institutionen und der Verwaltung bei. Durch vereinfachte Verfahren, verkürzte Bearbeitungszeiten und reduzierte formelle Anforderungen werden Verwaltungsabläufe effizienter gestaltet und Ressourcen geschont. Sofern Abweichungen von Erleichterungen geregelt werden</w:t>
      </w:r>
      <w:r w:rsidR="001E529E">
        <w:rPr>
          <w:rFonts w:cs="Arial"/>
        </w:rPr>
        <w:t>,</w:t>
      </w:r>
      <w:r w:rsidRPr="00D168C3">
        <w:rPr>
          <w:rFonts w:cs="Arial"/>
        </w:rPr>
        <w:t xml:space="preserve"> erfolgt dies in der Regel zum Schutz der Betroffenen. </w:t>
      </w:r>
    </w:p>
    <w:p w14:paraId="6D0F2894" w14:textId="77777777" w:rsidR="001E5794" w:rsidRPr="00D168C3" w:rsidRDefault="001E5794" w:rsidP="00AF188C">
      <w:pPr>
        <w:spacing w:after="0"/>
        <w:jc w:val="both"/>
        <w:rPr>
          <w:rFonts w:cs="Arial"/>
        </w:rPr>
      </w:pPr>
      <w:r w:rsidRPr="00D168C3">
        <w:rPr>
          <w:rFonts w:cs="Arial"/>
        </w:rPr>
        <w:t>Finanzielle Mehrbelastungen für den Landeshaushalt oder die kommunalen Haushalte sind nicht zu erwarten. Soweit durch die Digitalisierung von Verfahren mittelfristig Einsparpotenziale entstehen, können diese zur Stärkung der Verwaltungsleistung genutzt werden.</w:t>
      </w:r>
    </w:p>
    <w:p w14:paraId="6E42EBFB" w14:textId="5A9956AF" w:rsidR="001E5794" w:rsidRPr="00D168C3" w:rsidRDefault="001E5794" w:rsidP="00AF188C">
      <w:pPr>
        <w:spacing w:after="0"/>
        <w:jc w:val="both"/>
        <w:rPr>
          <w:rFonts w:cs="Arial"/>
        </w:rPr>
      </w:pPr>
      <w:r w:rsidRPr="00D168C3">
        <w:rPr>
          <w:rFonts w:cs="Arial"/>
        </w:rPr>
        <w:t>Insgesamt leistet das Gesetz einen Beitrag zur Modernisierung der öffentlichen Verwaltung, zur Verbesserung der Standortbedingungen in Mecklenburg-Vorpommern und zur Stärkung des Vertrauens in staatliches Handeln.</w:t>
      </w:r>
    </w:p>
    <w:p w14:paraId="479F6019" w14:textId="77777777" w:rsidR="001E5794" w:rsidRPr="00D168C3" w:rsidRDefault="001E5794" w:rsidP="00AF188C">
      <w:pPr>
        <w:jc w:val="both"/>
        <w:rPr>
          <w:rFonts w:cs="Arial"/>
        </w:rPr>
      </w:pPr>
      <w:r w:rsidRPr="00D168C3">
        <w:rPr>
          <w:rFonts w:cs="Arial"/>
        </w:rPr>
        <w:br w:type="page"/>
      </w:r>
    </w:p>
    <w:p w14:paraId="298B7ADC" w14:textId="5B56B85B" w:rsidR="00A379E7" w:rsidRPr="00D168C3" w:rsidRDefault="0078418E" w:rsidP="00AF188C">
      <w:pPr>
        <w:jc w:val="both"/>
        <w:rPr>
          <w:rFonts w:cs="Arial"/>
          <w:b/>
          <w:bCs/>
        </w:rPr>
      </w:pPr>
      <w:r w:rsidRPr="00D168C3">
        <w:rPr>
          <w:rFonts w:cs="Arial"/>
          <w:b/>
          <w:bCs/>
        </w:rPr>
        <w:lastRenderedPageBreak/>
        <w:t xml:space="preserve">B. Besonderer Teil </w:t>
      </w:r>
    </w:p>
    <w:p w14:paraId="25BD780B" w14:textId="522E7BDF" w:rsidR="00A379E7" w:rsidRPr="00D168C3" w:rsidRDefault="00A379E7" w:rsidP="00AF188C">
      <w:pPr>
        <w:pStyle w:val="Listenabsatz"/>
        <w:numPr>
          <w:ilvl w:val="0"/>
          <w:numId w:val="7"/>
        </w:numPr>
        <w:jc w:val="both"/>
        <w:rPr>
          <w:rFonts w:cs="Arial"/>
          <w:b/>
          <w:bCs/>
        </w:rPr>
      </w:pPr>
      <w:r w:rsidRPr="00D168C3">
        <w:rPr>
          <w:rFonts w:cs="Arial"/>
          <w:b/>
          <w:bCs/>
        </w:rPr>
        <w:t xml:space="preserve">  </w:t>
      </w:r>
    </w:p>
    <w:p w14:paraId="6BCFC466" w14:textId="549B6FA2" w:rsidR="00A379E7" w:rsidRPr="00D168C3" w:rsidRDefault="00A379E7" w:rsidP="00AF188C">
      <w:pPr>
        <w:pStyle w:val="Listenabsatz"/>
        <w:jc w:val="both"/>
        <w:rPr>
          <w:rFonts w:cs="Arial"/>
        </w:rPr>
      </w:pPr>
      <w:r w:rsidRPr="00D168C3">
        <w:rPr>
          <w:rFonts w:cs="Arial"/>
        </w:rPr>
        <w:t>Zu N</w:t>
      </w:r>
      <w:r w:rsidR="00CF7346" w:rsidRPr="00D168C3">
        <w:rPr>
          <w:rFonts w:cs="Arial"/>
        </w:rPr>
        <w:t>ummer</w:t>
      </w:r>
      <w:r w:rsidRPr="00D168C3">
        <w:rPr>
          <w:rFonts w:cs="Arial"/>
        </w:rPr>
        <w:t xml:space="preserve"> 2 </w:t>
      </w:r>
      <w:r w:rsidR="00144EBA" w:rsidRPr="00D168C3">
        <w:rPr>
          <w:rFonts w:cs="Arial"/>
        </w:rPr>
        <w:t xml:space="preserve">Buchstabe </w:t>
      </w:r>
      <w:r w:rsidRPr="00D168C3">
        <w:rPr>
          <w:rFonts w:cs="Arial"/>
        </w:rPr>
        <w:t>a</w:t>
      </w:r>
      <w:r w:rsidR="00ED7802" w:rsidRPr="00D168C3">
        <w:rPr>
          <w:rFonts w:cs="Arial"/>
        </w:rPr>
        <w:t>:</w:t>
      </w:r>
    </w:p>
    <w:p w14:paraId="6DDA4A3E" w14:textId="3316E6F5" w:rsidR="00ED7802" w:rsidRPr="00D168C3" w:rsidRDefault="009E2ED3" w:rsidP="00AF188C">
      <w:pPr>
        <w:pStyle w:val="Listenabsatz"/>
        <w:jc w:val="both"/>
        <w:rPr>
          <w:rFonts w:cs="Arial"/>
        </w:rPr>
      </w:pPr>
      <w:r w:rsidRPr="00D168C3">
        <w:rPr>
          <w:rFonts w:cs="Arial"/>
          <w:highlight w:val="yellow"/>
        </w:rPr>
        <w:t xml:space="preserve">Platzhalter: </w:t>
      </w:r>
      <w:r w:rsidRPr="00847AB7">
        <w:rPr>
          <w:rFonts w:cs="Arial"/>
        </w:rPr>
        <w:t xml:space="preserve">Formulierung wird mit Bund und Ländern noch abgestimmt. Überführung </w:t>
      </w:r>
      <w:r w:rsidRPr="00D168C3">
        <w:rPr>
          <w:rFonts w:cs="Arial"/>
        </w:rPr>
        <w:t>des § 9a Abs</w:t>
      </w:r>
      <w:r w:rsidR="001E1039">
        <w:rPr>
          <w:rFonts w:cs="Arial"/>
        </w:rPr>
        <w:t>atz</w:t>
      </w:r>
      <w:r w:rsidRPr="00D168C3">
        <w:rPr>
          <w:rFonts w:cs="Arial"/>
        </w:rPr>
        <w:t xml:space="preserve"> 5 OZG</w:t>
      </w:r>
      <w:r w:rsidR="001E6FC6" w:rsidRPr="00D168C3">
        <w:rPr>
          <w:rFonts w:cs="Arial"/>
        </w:rPr>
        <w:t>, Einführung von ELSTER als Identifikationsmittel und Streichung von DE-Mail</w:t>
      </w:r>
    </w:p>
    <w:p w14:paraId="7136C9F0" w14:textId="77777777" w:rsidR="009E2ED3" w:rsidRPr="00D168C3" w:rsidRDefault="009E2ED3" w:rsidP="00AF188C">
      <w:pPr>
        <w:pStyle w:val="Listenabsatz"/>
        <w:jc w:val="both"/>
        <w:rPr>
          <w:rFonts w:cs="Arial"/>
        </w:rPr>
      </w:pPr>
    </w:p>
    <w:p w14:paraId="59FF6AB3" w14:textId="47AFA2D5" w:rsidR="00A379E7" w:rsidRPr="00D168C3" w:rsidRDefault="00A379E7"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 xml:space="preserve">2 </w:t>
      </w:r>
      <w:r w:rsidR="00B422C1" w:rsidRPr="00D168C3">
        <w:rPr>
          <w:rFonts w:cs="Arial"/>
        </w:rPr>
        <w:t xml:space="preserve">Buchstabe </w:t>
      </w:r>
      <w:r w:rsidRPr="00D168C3">
        <w:rPr>
          <w:rFonts w:cs="Arial"/>
        </w:rPr>
        <w:t>b</w:t>
      </w:r>
      <w:r w:rsidR="00ED7802" w:rsidRPr="00D168C3">
        <w:rPr>
          <w:rFonts w:cs="Arial"/>
        </w:rPr>
        <w:t>:</w:t>
      </w:r>
    </w:p>
    <w:p w14:paraId="60776AFD" w14:textId="0A16D806" w:rsidR="00ED7802" w:rsidRPr="00D168C3" w:rsidRDefault="001E6FC6" w:rsidP="00AF188C">
      <w:pPr>
        <w:pStyle w:val="Listenabsatz"/>
        <w:jc w:val="both"/>
        <w:rPr>
          <w:rFonts w:cs="Arial"/>
        </w:rPr>
      </w:pPr>
      <w:r w:rsidRPr="00D168C3">
        <w:rPr>
          <w:rFonts w:cs="Arial"/>
          <w:highlight w:val="yellow"/>
        </w:rPr>
        <w:t xml:space="preserve">Platzhalter: </w:t>
      </w:r>
      <w:r w:rsidRPr="00847AB7">
        <w:rPr>
          <w:rFonts w:cs="Arial"/>
        </w:rPr>
        <w:t xml:space="preserve">Formulierung der Gesetzesbegründung wird mit dem Bund und anderen Bundesländern abgestimmt (Simultangesetzgebung). </w:t>
      </w:r>
      <w:r w:rsidRPr="00D168C3">
        <w:rPr>
          <w:rFonts w:cs="Arial"/>
        </w:rPr>
        <w:t xml:space="preserve">Generelle Ersetzung der Schriftform durch die Textform. In § 3a </w:t>
      </w:r>
      <w:r w:rsidR="001E1039">
        <w:rPr>
          <w:rFonts w:cs="Arial"/>
        </w:rPr>
        <w:t xml:space="preserve">Absatz </w:t>
      </w:r>
      <w:r w:rsidRPr="00D168C3">
        <w:rPr>
          <w:rFonts w:cs="Arial"/>
        </w:rPr>
        <w:t>2 wird eine Regelung getroffen, der zufolge einer angeordneten Schriftform elektronisch ersetzt werden kann, soweit nicht durch Rechtsvorschrift etwas anderes bestimmt ist.</w:t>
      </w:r>
    </w:p>
    <w:p w14:paraId="72F4AB27" w14:textId="77777777" w:rsidR="001E6FC6" w:rsidRPr="00D168C3" w:rsidRDefault="001E6FC6" w:rsidP="00AF188C">
      <w:pPr>
        <w:pStyle w:val="Listenabsatz"/>
        <w:jc w:val="both"/>
        <w:rPr>
          <w:rFonts w:cs="Arial"/>
        </w:rPr>
      </w:pPr>
    </w:p>
    <w:p w14:paraId="03EC78C7" w14:textId="7000258F" w:rsidR="00ED7802" w:rsidRPr="00D168C3" w:rsidRDefault="00ED780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3:</w:t>
      </w:r>
    </w:p>
    <w:p w14:paraId="09989F80" w14:textId="5759CF3E" w:rsidR="00ED7802" w:rsidRPr="00D168C3" w:rsidRDefault="00ED7802" w:rsidP="00AF188C">
      <w:pPr>
        <w:pStyle w:val="Listenabsatz"/>
        <w:jc w:val="both"/>
        <w:rPr>
          <w:rFonts w:cs="Arial"/>
        </w:rPr>
      </w:pPr>
      <w:r w:rsidRPr="00D168C3">
        <w:rPr>
          <w:rFonts w:cs="Arial"/>
          <w:highlight w:val="yellow"/>
        </w:rPr>
        <w:t xml:space="preserve">Platzhalter: </w:t>
      </w:r>
      <w:r w:rsidRPr="00847AB7">
        <w:rPr>
          <w:rFonts w:cs="Arial"/>
        </w:rPr>
        <w:t>Formulierung der Gesetzesbegründung wird mit dem Bund und anderen Bundesländern abgestimmt (Simultangesetzgebung).</w:t>
      </w:r>
      <w:r w:rsidR="001E6FC6" w:rsidRPr="00847AB7">
        <w:rPr>
          <w:rFonts w:cs="Arial"/>
        </w:rPr>
        <w:t xml:space="preserve"> </w:t>
      </w:r>
      <w:r w:rsidR="001E6FC6" w:rsidRPr="00D168C3">
        <w:rPr>
          <w:rFonts w:cs="Arial"/>
        </w:rPr>
        <w:t>Verwaltungsverfahren von untergeordneter Bedeutung, z.B. Antragsverfahren mit Summen bis zum Betrag von 600 Euro, können von der Behörde nach billigem Ermessen durchgeführt werden, ohne dass sämtliche formelle Verwaltungsverfahrensschritte durchgeführt werden müssen.</w:t>
      </w:r>
    </w:p>
    <w:p w14:paraId="72DD3520" w14:textId="2B4C01F7" w:rsidR="00ED7802" w:rsidRPr="00D168C3" w:rsidRDefault="00ED7802" w:rsidP="00AF188C">
      <w:pPr>
        <w:pStyle w:val="Listenabsatz"/>
        <w:jc w:val="both"/>
        <w:rPr>
          <w:rFonts w:cs="Arial"/>
        </w:rPr>
      </w:pPr>
    </w:p>
    <w:p w14:paraId="1DF42598" w14:textId="35EFB407" w:rsidR="00ED7802" w:rsidRPr="00D168C3" w:rsidRDefault="00ED780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 xml:space="preserve">4: </w:t>
      </w:r>
    </w:p>
    <w:p w14:paraId="247D1915" w14:textId="2B6EA4EA" w:rsidR="00ED7802" w:rsidRPr="00D168C3" w:rsidRDefault="00ED7802" w:rsidP="00AF188C">
      <w:pPr>
        <w:pStyle w:val="Listenabsatz"/>
        <w:jc w:val="both"/>
        <w:rPr>
          <w:rFonts w:cs="Arial"/>
        </w:rPr>
      </w:pPr>
      <w:r w:rsidRPr="00D168C3">
        <w:rPr>
          <w:rFonts w:cs="Arial"/>
          <w:highlight w:val="yellow"/>
        </w:rPr>
        <w:t xml:space="preserve">Platzhalter: </w:t>
      </w:r>
      <w:r w:rsidRPr="00847AB7">
        <w:rPr>
          <w:rFonts w:cs="Arial"/>
        </w:rPr>
        <w:t xml:space="preserve">Redaktionelle Änderung. </w:t>
      </w:r>
      <w:r w:rsidRPr="00D168C3">
        <w:rPr>
          <w:rFonts w:cs="Arial"/>
        </w:rPr>
        <w:t>Es findet eine Anpassung an das VwVfG des Bundes statt (Simultangesetzgebung).</w:t>
      </w:r>
    </w:p>
    <w:p w14:paraId="4EB96D2A" w14:textId="3A9DBB07" w:rsidR="00ED7802" w:rsidRPr="00D168C3" w:rsidRDefault="00ED7802" w:rsidP="00AF188C">
      <w:pPr>
        <w:pStyle w:val="Listenabsatz"/>
        <w:jc w:val="both"/>
        <w:rPr>
          <w:rFonts w:cs="Arial"/>
        </w:rPr>
      </w:pPr>
    </w:p>
    <w:p w14:paraId="501CBC0E" w14:textId="3B1145BC" w:rsidR="00ED7802" w:rsidRPr="00D168C3" w:rsidRDefault="00ED7802" w:rsidP="00AF188C">
      <w:pPr>
        <w:pStyle w:val="Listenabsatz"/>
        <w:jc w:val="both"/>
        <w:rPr>
          <w:rFonts w:cs="Arial"/>
        </w:rPr>
      </w:pPr>
      <w:r w:rsidRPr="00D168C3">
        <w:rPr>
          <w:rFonts w:cs="Arial"/>
        </w:rPr>
        <w:t xml:space="preserve">Zu </w:t>
      </w:r>
      <w:r w:rsidR="00CF7346" w:rsidRPr="00D168C3">
        <w:rPr>
          <w:rFonts w:cs="Arial"/>
        </w:rPr>
        <w:t>Nummer</w:t>
      </w:r>
      <w:r w:rsidRPr="00D168C3">
        <w:rPr>
          <w:rFonts w:cs="Arial"/>
        </w:rPr>
        <w:t xml:space="preserve"> 5:</w:t>
      </w:r>
    </w:p>
    <w:p w14:paraId="08F7D584" w14:textId="309C1AFE" w:rsidR="00ED7802" w:rsidRPr="00D168C3" w:rsidRDefault="00ED7802" w:rsidP="00AF188C">
      <w:pPr>
        <w:pStyle w:val="Listenabsatz"/>
        <w:jc w:val="both"/>
        <w:rPr>
          <w:rFonts w:cs="Arial"/>
        </w:rPr>
      </w:pPr>
      <w:r w:rsidRPr="00D168C3">
        <w:rPr>
          <w:rFonts w:cs="Arial"/>
        </w:rPr>
        <w:t>Absatz 1</w:t>
      </w:r>
    </w:p>
    <w:p w14:paraId="26C6CDE5" w14:textId="3086A349" w:rsidR="00ED7802" w:rsidRPr="00D168C3" w:rsidRDefault="00ED7802" w:rsidP="00AF188C">
      <w:pPr>
        <w:pStyle w:val="Listenabsatz"/>
        <w:jc w:val="both"/>
        <w:rPr>
          <w:rFonts w:cs="Arial"/>
        </w:rPr>
      </w:pPr>
      <w:r w:rsidRPr="00D168C3">
        <w:rPr>
          <w:rFonts w:cs="Arial"/>
        </w:rPr>
        <w:t>§ 27a Absatz 1 VwVfG M-V regelt die Form der Bekanntgabe einer öffentlichen oder ortsüblichen Bekanntmachung. Es reicht nun für die Bekanntgabe aus, dass der Inhalt der Bekanntmachung auf der Internetseite der Behörde oder ihres Verwaltungsträgers veröffentlicht wird. Zusätzlich muss eine Veröffentlichung im elektronischen amtlichen Mitteilungs</w:t>
      </w:r>
      <w:r w:rsidR="0082148D" w:rsidRPr="00D168C3">
        <w:rPr>
          <w:rFonts w:cs="Arial"/>
        </w:rPr>
        <w:t>-</w:t>
      </w:r>
      <w:r w:rsidRPr="00D168C3">
        <w:rPr>
          <w:rFonts w:cs="Arial"/>
        </w:rPr>
        <w:t xml:space="preserve"> oder Verkündungsblatt der Behörde oder ihres Verwaltungsträgers erfolgen, hierbei ist § 15 Absatz 2 des Gesetzes zur Förderung der elektronischen Verwaltung (EGovG) zu berücksichtigen. Die bisherigen Voraussetzungen, wonach die Bekanntmachung auch in den örtlichen Tagezeitungen veröffentlicht werden muss (vgl. § 72 Absatz 2 Satz 2 VwVfG M-V a.F.) entfällt damit ersatzlos. Damit werden die entsprechenden Regelungen zur Digitalisierung in den Fachgesetzen (vgl. § 17a Absatz 3 Satz 3 FStrG, § 18 Absatz 3 Satz 2 AEG, § 14a Absatz 3 Satz 3 WaStrG) übernommen.</w:t>
      </w:r>
    </w:p>
    <w:p w14:paraId="236A9674" w14:textId="6FC45105" w:rsidR="00ED7802" w:rsidRPr="00D168C3" w:rsidRDefault="00ED7802" w:rsidP="00AF188C">
      <w:pPr>
        <w:pStyle w:val="Listenabsatz"/>
        <w:jc w:val="both"/>
        <w:rPr>
          <w:rFonts w:cs="Arial"/>
        </w:rPr>
      </w:pPr>
      <w:r w:rsidRPr="00D168C3">
        <w:rPr>
          <w:rFonts w:cs="Arial"/>
        </w:rPr>
        <w:t>Die Neuregelung trägt damit dem Bedürfnis nach weitergehender Digitalisierung von Verfahrensschritten Rechnung. Die öffentliche Bekanntmachung im Internet bringt erhebliche Vorteile: Zum einen werden Verwaltungskosten eingespart. Der Aufwand für die Beauftragung und Kontrolle der Veröffentlichungen in den Tageszeitungen entfällt ebenso wie das Entgelt für die Veröffentlichungen in den Tageszeitungen. Zum anderen wird dem Bedürfnis Rechnung getragen, das Verwaltungsverfahren transparenter zu gestalten. Die Informationen, bspw. über ein Vorhaben finden sich nun für den Betroffenen dort, wo er sie erwartet, nämlich auf der Internetseite der Behörde.</w:t>
      </w:r>
    </w:p>
    <w:p w14:paraId="4B1AB269" w14:textId="52E16BB6" w:rsidR="00ED7802" w:rsidRPr="00D168C3" w:rsidRDefault="00ED7802" w:rsidP="00AF188C">
      <w:pPr>
        <w:pStyle w:val="Listenabsatz"/>
        <w:jc w:val="both"/>
        <w:rPr>
          <w:rFonts w:cs="Arial"/>
        </w:rPr>
      </w:pPr>
      <w:r w:rsidRPr="00D168C3">
        <w:rPr>
          <w:rFonts w:cs="Arial"/>
        </w:rPr>
        <w:t xml:space="preserve">Das Verfahren wird zudem vereinheitlicht indem beispielsweise unterschiedliche Bekanntgaben in verschiedenen Gemeinden vermieden werden. Unter dem Begriff der </w:t>
      </w:r>
      <w:r w:rsidRPr="00D168C3">
        <w:rPr>
          <w:rFonts w:cs="Arial"/>
        </w:rPr>
        <w:lastRenderedPageBreak/>
        <w:t>Internetseite sind auch Datenplattformen (u.a. Antrags</w:t>
      </w:r>
      <w:r w:rsidR="001E529E">
        <w:rPr>
          <w:rFonts w:cs="Arial"/>
        </w:rPr>
        <w:t>-</w:t>
      </w:r>
      <w:r w:rsidRPr="00D168C3">
        <w:rPr>
          <w:rFonts w:cs="Arial"/>
        </w:rPr>
        <w:t xml:space="preserve"> und Beteiligungsportal des Bundes) zu verstehen.</w:t>
      </w:r>
    </w:p>
    <w:p w14:paraId="26B2C6F8" w14:textId="18F010FA" w:rsidR="00ED7802" w:rsidRPr="00D168C3" w:rsidRDefault="00ED7802" w:rsidP="00AF188C">
      <w:pPr>
        <w:pStyle w:val="Listenabsatz"/>
        <w:jc w:val="both"/>
        <w:rPr>
          <w:rFonts w:cs="Arial"/>
        </w:rPr>
      </w:pPr>
      <w:r w:rsidRPr="00D168C3">
        <w:rPr>
          <w:rFonts w:cs="Arial"/>
        </w:rPr>
        <w:t>§ 27a Absatz 1 VwVfG kommt, wie bisher auch, zur Anwendung, wenn eine Rechtsvorschrift eine öffentliche oder ortsübliche Bekanntmachung anordnet und keine spezialgesetzlichen Regelungen bestehen. § 27a VwVfG regelt dann die Form der Bekanntmachung. Den Inhalt der Bekanntmachung gibt sie nicht vor. Hauptanwendungsfall sind die Regelungen zum Planfeststellungsrecht (§§ 72ff. VwVfG M-V). Die §§ 72 Absatz 2, 73 Absatz 3, 73b Absatz 2, 74 Absatz 5 VwVfG M-V sehen hier jeweils eine öffentliche Bekanntmachung vor.</w:t>
      </w:r>
    </w:p>
    <w:p w14:paraId="4CC811E6" w14:textId="32637E8B" w:rsidR="00ED7802" w:rsidRPr="00D168C3" w:rsidRDefault="00ED7802" w:rsidP="00AF188C">
      <w:pPr>
        <w:pStyle w:val="Listenabsatz"/>
        <w:jc w:val="both"/>
        <w:rPr>
          <w:rFonts w:cs="Arial"/>
        </w:rPr>
      </w:pPr>
    </w:p>
    <w:p w14:paraId="1A991AD6" w14:textId="2B0E3062" w:rsidR="00ED7802" w:rsidRPr="00D168C3" w:rsidRDefault="00ED7802" w:rsidP="00AF188C">
      <w:pPr>
        <w:pStyle w:val="Listenabsatz"/>
        <w:jc w:val="both"/>
        <w:rPr>
          <w:rFonts w:cs="Arial"/>
        </w:rPr>
      </w:pPr>
      <w:r w:rsidRPr="00D168C3">
        <w:rPr>
          <w:rFonts w:cs="Arial"/>
        </w:rPr>
        <w:t>Absatz 2</w:t>
      </w:r>
    </w:p>
    <w:p w14:paraId="2DFA7A1B" w14:textId="2B706214" w:rsidR="00ED7802" w:rsidRPr="00D168C3" w:rsidRDefault="00ED7802" w:rsidP="00AF188C">
      <w:pPr>
        <w:pStyle w:val="Listenabsatz"/>
        <w:jc w:val="both"/>
        <w:rPr>
          <w:rFonts w:cs="Arial"/>
        </w:rPr>
      </w:pPr>
      <w:r w:rsidRPr="00D168C3">
        <w:rPr>
          <w:rFonts w:cs="Arial"/>
        </w:rPr>
        <w:t>Satz 1 sieht wie bisher für die in Absatz 1 Satz 1 zwingend angeordnete Internetveröffentlichung eine Ausnahme für solche Fälle vor, in denen Probleme bestehen, diese Anforderung umzusetzen, verzichtet dabei aber auf den Begriff „Zugänglichmachung“ und verwendet stattdessen „Veröffentlichung“ (vgl. auch die Begründung zu § 27b). Satz 2 sieht jetzt neu vor, dass im Falle der Unmöglichkeit die Bekanntmachung auf eine andere Weise zu bewirken ist. Der neue Satz 3 stellt klar, dass in Fällen der Unmöglichkeit nach Absatz 2 auch Absatz 1 Satz 3 nicht zur Anwendung kommen kann, sondern für die Einhaltung einer vorgeschriebenen Frist die Bekanntmachung auf diese Weise maßgeblich ist.</w:t>
      </w:r>
    </w:p>
    <w:p w14:paraId="0AEF9FF3" w14:textId="25D7E03B" w:rsidR="0082148D" w:rsidRPr="00D168C3" w:rsidRDefault="0082148D" w:rsidP="00AF188C">
      <w:pPr>
        <w:pStyle w:val="Listenabsatz"/>
        <w:jc w:val="both"/>
        <w:rPr>
          <w:rFonts w:cs="Arial"/>
        </w:rPr>
      </w:pPr>
    </w:p>
    <w:p w14:paraId="5E549C2C" w14:textId="44E46AA5" w:rsidR="0082148D" w:rsidRPr="00D168C3" w:rsidRDefault="0082148D"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 xml:space="preserve">6 </w:t>
      </w:r>
      <w:r w:rsidR="00CF7346" w:rsidRPr="00D168C3">
        <w:rPr>
          <w:rFonts w:cs="Arial"/>
        </w:rPr>
        <w:t xml:space="preserve">Buchstabe </w:t>
      </w:r>
      <w:r w:rsidRPr="00D168C3">
        <w:rPr>
          <w:rFonts w:cs="Arial"/>
        </w:rPr>
        <w:t>a:</w:t>
      </w:r>
    </w:p>
    <w:p w14:paraId="77388A02" w14:textId="5A742158" w:rsidR="0082148D" w:rsidRPr="00D168C3" w:rsidRDefault="0082148D" w:rsidP="00AF188C">
      <w:pPr>
        <w:pStyle w:val="Listenabsatz"/>
        <w:jc w:val="both"/>
        <w:rPr>
          <w:rFonts w:cs="Arial"/>
        </w:rPr>
      </w:pPr>
      <w:r w:rsidRPr="00D168C3">
        <w:rPr>
          <w:rFonts w:cs="Arial"/>
        </w:rPr>
        <w:t>Durch die Änderungen in § 27b wird künftig weitestgehend auf den Begriff „Zugänglichmachung“ verzichtet, da dieser mit einem analogen Vorgehen verbunden wird, welches künftig nicht mehr vorgesehen sein soll. Daher wurde auch die Überschrift des § 27b angepasst, sodass die Norm künftig die Auslegung von Dokumenten vorsehen soll, aber nicht mehr die Zugänglichmachung von auszulegenden Dokumenten.</w:t>
      </w:r>
    </w:p>
    <w:p w14:paraId="34300EC0" w14:textId="32B2B72A" w:rsidR="0082148D" w:rsidRPr="00D168C3" w:rsidRDefault="0082148D" w:rsidP="00AF188C">
      <w:pPr>
        <w:pStyle w:val="Listenabsatz"/>
        <w:jc w:val="both"/>
        <w:rPr>
          <w:rFonts w:cs="Arial"/>
        </w:rPr>
      </w:pPr>
    </w:p>
    <w:p w14:paraId="0D2990D1" w14:textId="13A45D28" w:rsidR="0082148D" w:rsidRPr="00D168C3" w:rsidRDefault="0082148D"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6</w:t>
      </w:r>
      <w:r w:rsidR="00CF7346" w:rsidRPr="00D168C3">
        <w:rPr>
          <w:rFonts w:cs="Arial"/>
        </w:rPr>
        <w:t xml:space="preserve"> Buchstabe</w:t>
      </w:r>
      <w:r w:rsidRPr="00D168C3">
        <w:rPr>
          <w:rFonts w:cs="Arial"/>
        </w:rPr>
        <w:t xml:space="preserve"> b:</w:t>
      </w:r>
    </w:p>
    <w:p w14:paraId="785D7AB6" w14:textId="08B927C1" w:rsidR="0082148D" w:rsidRPr="00D168C3" w:rsidRDefault="0082148D" w:rsidP="00AF188C">
      <w:pPr>
        <w:pStyle w:val="Listenabsatz"/>
        <w:jc w:val="both"/>
        <w:rPr>
          <w:rFonts w:cs="Arial"/>
        </w:rPr>
      </w:pPr>
      <w:r w:rsidRPr="00D168C3">
        <w:rPr>
          <w:rFonts w:cs="Arial"/>
        </w:rPr>
        <w:t>Absatz 1 und 2</w:t>
      </w:r>
    </w:p>
    <w:p w14:paraId="353987C3" w14:textId="2CEE1476" w:rsidR="0082148D" w:rsidRPr="00D168C3" w:rsidRDefault="0082148D" w:rsidP="00AF188C">
      <w:pPr>
        <w:pStyle w:val="Listenabsatz"/>
        <w:jc w:val="both"/>
        <w:rPr>
          <w:rFonts w:cs="Arial"/>
        </w:rPr>
      </w:pPr>
      <w:r w:rsidRPr="00D168C3">
        <w:rPr>
          <w:rFonts w:cs="Arial"/>
        </w:rPr>
        <w:t>Die Änderung des Absatzes 1 dient ebenfalls der weitergehenden Digitalisierung von Verfahrensschritten unter Verzicht auf parallele analoge Verfahrensschritte. Nunmehr reicht es für die Auslegung von Dokumenten aus, wenn diese auf der Internetseite der Behörde veröffentlicht werden. Hierunter fallen auch Datenplattformen (u.a. Antrags</w:t>
      </w:r>
      <w:r w:rsidR="001E529E">
        <w:rPr>
          <w:rFonts w:cs="Arial"/>
        </w:rPr>
        <w:t>-</w:t>
      </w:r>
      <w:r w:rsidRPr="00D168C3">
        <w:rPr>
          <w:rFonts w:cs="Arial"/>
        </w:rPr>
        <w:t xml:space="preserve"> und Beteiligungsportal des Bundes).</w:t>
      </w:r>
    </w:p>
    <w:p w14:paraId="7B1A1030" w14:textId="77777777" w:rsidR="0082148D" w:rsidRPr="00D168C3" w:rsidRDefault="0082148D" w:rsidP="00AF188C">
      <w:pPr>
        <w:pStyle w:val="Listenabsatz"/>
        <w:jc w:val="both"/>
        <w:rPr>
          <w:rFonts w:cs="Arial"/>
        </w:rPr>
      </w:pPr>
      <w:r w:rsidRPr="00D168C3">
        <w:rPr>
          <w:rFonts w:cs="Arial"/>
        </w:rPr>
        <w:t>Das bisherige Erfordernis, dass die Auslegung auch auf mindestens eine andere Art, was in der Praxis in der Regel die physische Auslegung der Dokumente in einer Behörde bedeutet, entfällt, damit ersatzlos. Nur wenn eine Veröffentlichung der auszulegenden Unterlagen im Internet, insbesondere aus technischen Gründen, nicht möglich ist, ist eine andere Zugangsmöglichkeit vorzusehen, was dann in der Regel die physische Auslegung vor Ort sein wird.</w:t>
      </w:r>
    </w:p>
    <w:p w14:paraId="31EC052A" w14:textId="77777777" w:rsidR="0082148D" w:rsidRPr="00D168C3" w:rsidRDefault="0082148D" w:rsidP="00AF188C">
      <w:pPr>
        <w:pStyle w:val="Listenabsatz"/>
        <w:jc w:val="both"/>
        <w:rPr>
          <w:rFonts w:cs="Arial"/>
        </w:rPr>
      </w:pPr>
      <w:r w:rsidRPr="00D168C3">
        <w:rPr>
          <w:rFonts w:cs="Arial"/>
        </w:rPr>
        <w:t>Wie auch bei § 27a trägt die Neuregelung dem Bedürfnis nach weitergehender Digitalisierung von Verfahrensschritten Rechnung. Die dortigen Erwägungen gelten auch hier. Ohnehin sind §§ 27a und 27b als Einheit zu betrachten, da die Auslegung von Dokumenten in der Regel auch vorher bekannt gemacht wird.</w:t>
      </w:r>
    </w:p>
    <w:p w14:paraId="6B88E413" w14:textId="468EDC52" w:rsidR="0082148D" w:rsidRPr="00D168C3" w:rsidRDefault="0082148D" w:rsidP="00AF188C">
      <w:pPr>
        <w:pStyle w:val="Listenabsatz"/>
        <w:jc w:val="both"/>
        <w:rPr>
          <w:rFonts w:cs="Arial"/>
        </w:rPr>
      </w:pPr>
      <w:r w:rsidRPr="00D168C3">
        <w:rPr>
          <w:rFonts w:cs="Arial"/>
        </w:rPr>
        <w:t>Wie bislang auch, setzt Absatz 1 voraus, dass durch eine Rechtsvorschrift die Auslegung angeordnet wird. Hauptanwendungsfall ist wiederum das Planfeststellungsverfahren. § 73 Absatz 1 VwVfG M-V ordnet die Auslegung der Planunterlagen an. § 73 Absatz 1 Satz 1 in Verbindung mit § 27b Absatz 1 Satz 1 stellt nun klar, dass die Auslegung durch eine Veröffentlichung auf der Internetseite der Behörde erfolgt.</w:t>
      </w:r>
    </w:p>
    <w:p w14:paraId="39258134" w14:textId="77777777" w:rsidR="0082148D" w:rsidRPr="00D168C3" w:rsidRDefault="0082148D" w:rsidP="00AF188C">
      <w:pPr>
        <w:pStyle w:val="Listenabsatz"/>
        <w:jc w:val="both"/>
        <w:rPr>
          <w:rFonts w:cs="Arial"/>
        </w:rPr>
      </w:pPr>
    </w:p>
    <w:p w14:paraId="388B84EE" w14:textId="26A9C7D7" w:rsidR="0082148D" w:rsidRPr="00D168C3" w:rsidRDefault="0082148D" w:rsidP="00AF188C">
      <w:pPr>
        <w:pStyle w:val="Listenabsatz"/>
        <w:jc w:val="both"/>
        <w:rPr>
          <w:rFonts w:cs="Arial"/>
        </w:rPr>
      </w:pPr>
      <w:r w:rsidRPr="00D168C3">
        <w:rPr>
          <w:rFonts w:cs="Arial"/>
        </w:rPr>
        <w:lastRenderedPageBreak/>
        <w:t xml:space="preserve">Zu </w:t>
      </w:r>
      <w:r w:rsidR="00CF7346" w:rsidRPr="00D168C3">
        <w:rPr>
          <w:rFonts w:cs="Arial"/>
        </w:rPr>
        <w:t>Nummer</w:t>
      </w:r>
      <w:r w:rsidRPr="00D168C3">
        <w:rPr>
          <w:rFonts w:cs="Arial"/>
        </w:rPr>
        <w:t xml:space="preserve"> 6 </w:t>
      </w:r>
      <w:r w:rsidR="00CF7346" w:rsidRPr="00D168C3">
        <w:rPr>
          <w:rFonts w:cs="Arial"/>
        </w:rPr>
        <w:t xml:space="preserve">Buchstabe </w:t>
      </w:r>
      <w:r w:rsidRPr="00D168C3">
        <w:rPr>
          <w:rFonts w:cs="Arial"/>
        </w:rPr>
        <w:t>c:</w:t>
      </w:r>
    </w:p>
    <w:p w14:paraId="65C1FEB0" w14:textId="5B7766EB" w:rsidR="0082148D" w:rsidRPr="00D168C3" w:rsidRDefault="0082148D" w:rsidP="00AF188C">
      <w:pPr>
        <w:pStyle w:val="Listenabsatz"/>
        <w:jc w:val="both"/>
        <w:rPr>
          <w:rFonts w:cs="Arial"/>
        </w:rPr>
      </w:pPr>
      <w:r w:rsidRPr="00D168C3">
        <w:rPr>
          <w:rFonts w:cs="Arial"/>
        </w:rPr>
        <w:t>Es handelt sich um eine Folgeänderung in Folge der Änderung von § 27b Absatz 1 VwVfG M-V.</w:t>
      </w:r>
    </w:p>
    <w:p w14:paraId="5B39C21A" w14:textId="38B0478E" w:rsidR="00ED7802" w:rsidRPr="00D168C3" w:rsidRDefault="00ED7802" w:rsidP="00AF188C">
      <w:pPr>
        <w:pStyle w:val="Listenabsatz"/>
        <w:jc w:val="both"/>
        <w:rPr>
          <w:rFonts w:cs="Arial"/>
        </w:rPr>
      </w:pPr>
    </w:p>
    <w:p w14:paraId="5DB5E0A9" w14:textId="65E08E74" w:rsidR="0082148D" w:rsidRPr="00D168C3" w:rsidRDefault="0082148D"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 xml:space="preserve">7: </w:t>
      </w:r>
    </w:p>
    <w:p w14:paraId="7EB746CD" w14:textId="2B384717" w:rsidR="0082148D" w:rsidRPr="00D168C3" w:rsidRDefault="0082148D" w:rsidP="00AF188C">
      <w:pPr>
        <w:pStyle w:val="Listenabsatz"/>
        <w:jc w:val="both"/>
        <w:rPr>
          <w:rFonts w:cs="Arial"/>
        </w:rPr>
      </w:pPr>
      <w:r w:rsidRPr="00D168C3">
        <w:rPr>
          <w:rFonts w:cs="Arial"/>
        </w:rPr>
        <w:t xml:space="preserve">Betreiber kritischer Anlagen (KRITIS) sind Organisationen und Einrichtungen mit wichtiger Bedeutung für das staatliche Gemeinwesen, bei deren Ausfall oder Beeinträchtigung nachhaltig wirkende Versorgungsengpässe, erhebliche Störungen der öffentlichen Sicherheit oder andere dramatische Folgen eintreten würden. Informationen über diese Anlagen sind besonders </w:t>
      </w:r>
      <w:r w:rsidR="00961877" w:rsidRPr="00D168C3">
        <w:rPr>
          <w:rFonts w:cs="Arial"/>
        </w:rPr>
        <w:t>s</w:t>
      </w:r>
      <w:r w:rsidRPr="00D168C3">
        <w:rPr>
          <w:rFonts w:cs="Arial"/>
        </w:rPr>
        <w:t>chutz</w:t>
      </w:r>
      <w:r w:rsidR="00961877" w:rsidRPr="00D168C3">
        <w:rPr>
          <w:rFonts w:cs="Arial"/>
        </w:rPr>
        <w:t>-</w:t>
      </w:r>
      <w:r w:rsidRPr="00D168C3">
        <w:rPr>
          <w:rFonts w:cs="Arial"/>
        </w:rPr>
        <w:t xml:space="preserve"> und geheimhaltungsbedürftig, da hier im Falle einer Veröffentlichung schwere Nachteile für das staatliche Gemeinwesen drohen. Daher sind diese ebenfalls in den Anwendungsbereich der Geheimhaltung einzubeziehen.</w:t>
      </w:r>
    </w:p>
    <w:p w14:paraId="486FA84B" w14:textId="77777777" w:rsidR="0082148D" w:rsidRPr="00D168C3" w:rsidRDefault="0082148D" w:rsidP="00AF188C">
      <w:pPr>
        <w:pStyle w:val="Listenabsatz"/>
        <w:jc w:val="both"/>
        <w:rPr>
          <w:rFonts w:cs="Arial"/>
        </w:rPr>
      </w:pPr>
    </w:p>
    <w:p w14:paraId="0768B92A" w14:textId="2BFE05DF" w:rsidR="00B140B2" w:rsidRPr="00D168C3" w:rsidRDefault="00B140B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8:</w:t>
      </w:r>
    </w:p>
    <w:p w14:paraId="7F3FBD55" w14:textId="441BB901" w:rsidR="0082148D" w:rsidRPr="00D168C3" w:rsidRDefault="00B140B2" w:rsidP="00AF188C">
      <w:pPr>
        <w:pStyle w:val="Listenabsatz"/>
        <w:jc w:val="both"/>
        <w:rPr>
          <w:rFonts w:cs="Arial"/>
        </w:rPr>
      </w:pPr>
      <w:r w:rsidRPr="00D168C3">
        <w:rPr>
          <w:rFonts w:cs="Arial"/>
          <w:highlight w:val="yellow"/>
        </w:rPr>
        <w:t xml:space="preserve">Platzhalter: </w:t>
      </w:r>
      <w:r w:rsidRPr="00847AB7">
        <w:rPr>
          <w:rFonts w:cs="Arial"/>
        </w:rPr>
        <w:t>Formulierung der Gesetzesbegründung wird mit dem Bund und anderen Bundesländern abgestimmt (Simultangesetzgebung).</w:t>
      </w:r>
      <w:r w:rsidR="001E6FC6" w:rsidRPr="00847AB7">
        <w:rPr>
          <w:rFonts w:cs="Arial"/>
          <w:bCs/>
          <w:szCs w:val="24"/>
        </w:rPr>
        <w:t xml:space="preserve"> </w:t>
      </w:r>
      <w:r w:rsidR="001E6FC6" w:rsidRPr="00D168C3">
        <w:rPr>
          <w:rFonts w:cs="Arial"/>
          <w:bCs/>
          <w:szCs w:val="24"/>
        </w:rPr>
        <w:t>Einsatz von Künstlicher Intelligenz; Erlaubnis mit gesetzlichen Verbotsvorbehalt.</w:t>
      </w:r>
    </w:p>
    <w:p w14:paraId="1AF16486" w14:textId="39AA26F2" w:rsidR="00B140B2" w:rsidRPr="00D168C3" w:rsidRDefault="00B140B2" w:rsidP="00AF188C">
      <w:pPr>
        <w:pStyle w:val="Listenabsatz"/>
        <w:jc w:val="both"/>
        <w:rPr>
          <w:rFonts w:cs="Arial"/>
        </w:rPr>
      </w:pPr>
    </w:p>
    <w:p w14:paraId="4FA4E994" w14:textId="26A4AFFA" w:rsidR="00B140B2" w:rsidRPr="00D168C3" w:rsidRDefault="00B140B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 xml:space="preserve">9: </w:t>
      </w:r>
    </w:p>
    <w:p w14:paraId="42B289F9" w14:textId="54E29122" w:rsidR="001E6FC6" w:rsidRPr="00D168C3" w:rsidRDefault="00AF494E" w:rsidP="001E6FC6">
      <w:pPr>
        <w:pStyle w:val="Listenabsatz"/>
        <w:jc w:val="both"/>
        <w:rPr>
          <w:rFonts w:cs="Arial"/>
        </w:rPr>
      </w:pPr>
      <w:r w:rsidRPr="00D168C3">
        <w:rPr>
          <w:rFonts w:cs="Arial"/>
          <w:highlight w:val="yellow"/>
        </w:rPr>
        <w:t xml:space="preserve">Platzhalter: </w:t>
      </w:r>
      <w:r w:rsidRPr="00847AB7">
        <w:rPr>
          <w:rFonts w:cs="Arial"/>
        </w:rPr>
        <w:t>Formulierung der Gesetzesbegründung wird mit dem Bund und anderen Bundesländern abgestimmt (Simultangesetzgebung).</w:t>
      </w:r>
      <w:r w:rsidR="001E6FC6" w:rsidRPr="00847AB7">
        <w:rPr>
          <w:rFonts w:cs="Arial"/>
        </w:rPr>
        <w:t xml:space="preserve"> Harmonisierung von elektronischer Bekanntgabe von VwVfG und OZG. "Opt-Out"-Regelung ist geplant</w:t>
      </w:r>
      <w:r w:rsidR="001E6FC6" w:rsidRPr="00D168C3">
        <w:rPr>
          <w:rFonts w:cs="Arial"/>
        </w:rPr>
        <w:t>. Nutzende sollen eine Benachrichtigung per E-Mail bekommen, die lediglich informatorischen Charakter hat. VA soll mit tatsächlichem Abruf bekannt gegeben sein. Er gilt spätestens vier Tage nach Bereitstellung zum Abruf als bekannt gegeben (Abruf + Bekanntgabefiktion).</w:t>
      </w:r>
    </w:p>
    <w:p w14:paraId="33145C61" w14:textId="77777777" w:rsidR="001E6FC6" w:rsidRPr="00D168C3" w:rsidRDefault="001E6FC6" w:rsidP="00AF188C">
      <w:pPr>
        <w:pStyle w:val="Listenabsatz"/>
        <w:jc w:val="both"/>
        <w:rPr>
          <w:rFonts w:cs="Arial"/>
        </w:rPr>
      </w:pPr>
    </w:p>
    <w:p w14:paraId="1B41B820" w14:textId="12E695FA" w:rsidR="00B140B2" w:rsidRPr="00D168C3" w:rsidRDefault="00B140B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 xml:space="preserve">10: </w:t>
      </w:r>
    </w:p>
    <w:p w14:paraId="52FB8977" w14:textId="40018251" w:rsidR="00B140B2" w:rsidRPr="00D168C3" w:rsidRDefault="00B140B2" w:rsidP="00AF188C">
      <w:pPr>
        <w:pStyle w:val="Listenabsatz"/>
        <w:jc w:val="both"/>
        <w:rPr>
          <w:rFonts w:cs="Arial"/>
        </w:rPr>
      </w:pPr>
      <w:r w:rsidRPr="00D168C3">
        <w:rPr>
          <w:rFonts w:cs="Arial"/>
          <w:highlight w:val="yellow"/>
        </w:rPr>
        <w:t xml:space="preserve">Platzhalter: </w:t>
      </w:r>
      <w:r w:rsidRPr="00847AB7">
        <w:rPr>
          <w:rFonts w:cs="Arial"/>
        </w:rPr>
        <w:t>Formulierung der Gesetzesbegründung wird mit dem Bund und anderen Bundesländern abgestimmt (Simultangesetzgebung).</w:t>
      </w:r>
      <w:r w:rsidR="001E6FC6" w:rsidRPr="00847AB7">
        <w:rPr>
          <w:rFonts w:cs="Arial"/>
          <w:bCs/>
        </w:rPr>
        <w:t xml:space="preserve"> Das </w:t>
      </w:r>
      <w:r w:rsidR="001E6FC6" w:rsidRPr="00D168C3">
        <w:rPr>
          <w:rFonts w:cs="Arial"/>
          <w:bCs/>
        </w:rPr>
        <w:t>Regel-Ausnahme-Verhältnis wird umgekehrt: Sofern Fachrecht explizit nichts Abweichendes regelt, gilt eine Genehmigung nach Ablauf von 3 Monaten ab Einreichung der vollständigen Unterlagen als erteilt.</w:t>
      </w:r>
    </w:p>
    <w:p w14:paraId="6DF4DBDD" w14:textId="16D5757F" w:rsidR="00B140B2" w:rsidRPr="00D168C3" w:rsidRDefault="00B140B2" w:rsidP="00AF188C">
      <w:pPr>
        <w:pStyle w:val="Listenabsatz"/>
        <w:jc w:val="both"/>
        <w:rPr>
          <w:rFonts w:cs="Arial"/>
        </w:rPr>
      </w:pPr>
    </w:p>
    <w:p w14:paraId="160945C2" w14:textId="58DFB0FF" w:rsidR="00B140B2" w:rsidRPr="00D168C3" w:rsidRDefault="00B140B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11:</w:t>
      </w:r>
    </w:p>
    <w:p w14:paraId="7C74883E" w14:textId="0331BFF1" w:rsidR="00B140B2" w:rsidRPr="00D168C3" w:rsidRDefault="00B140B2" w:rsidP="00AF188C">
      <w:pPr>
        <w:pStyle w:val="Listenabsatz"/>
        <w:jc w:val="both"/>
        <w:rPr>
          <w:rFonts w:cs="Arial"/>
        </w:rPr>
      </w:pPr>
      <w:r w:rsidRPr="00D168C3">
        <w:rPr>
          <w:rFonts w:cs="Arial"/>
          <w:highlight w:val="yellow"/>
        </w:rPr>
        <w:t xml:space="preserve">Platzhalter: </w:t>
      </w:r>
      <w:r w:rsidRPr="00847AB7">
        <w:rPr>
          <w:rFonts w:cs="Arial"/>
        </w:rPr>
        <w:t>Formulierung der Gesetzesbegründung wird mit dem Bund und anderen Bundesländern abgestimmt (Simultangesetzgebung).</w:t>
      </w:r>
      <w:r w:rsidR="001E6FC6" w:rsidRPr="00847AB7">
        <w:rPr>
          <w:rFonts w:cs="Arial"/>
        </w:rPr>
        <w:t xml:space="preserve"> </w:t>
      </w:r>
      <w:r w:rsidR="001E6FC6" w:rsidRPr="00D168C3">
        <w:rPr>
          <w:rFonts w:cs="Arial"/>
        </w:rPr>
        <w:t>Vollständigkeitsfiktion für in Anzeigeverfahren einzureichende Unterlagen: Soweit Rechtsvorschriften nichts anderes bestimmen, sollen Unterlagen, die zum Zwecke eines Anzeigeverfahrens eingereicht werden, als vollständig gelten, wenn dem Einreichenden nicht innerhalb eines Monats nach Eingang der Unterlagen eine anderweitige Mittelung der Behörde zugeht.</w:t>
      </w:r>
    </w:p>
    <w:p w14:paraId="4EE5B637" w14:textId="1D9BB952" w:rsidR="00961877" w:rsidRPr="00D168C3" w:rsidRDefault="00961877" w:rsidP="00AF188C">
      <w:pPr>
        <w:pStyle w:val="Listenabsatz"/>
        <w:jc w:val="both"/>
        <w:rPr>
          <w:rFonts w:cs="Arial"/>
        </w:rPr>
      </w:pPr>
    </w:p>
    <w:p w14:paraId="7A214FEF" w14:textId="50AAF6D1" w:rsidR="00B140B2" w:rsidRPr="00D168C3" w:rsidRDefault="00B140B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12:</w:t>
      </w:r>
    </w:p>
    <w:p w14:paraId="4E0DA352" w14:textId="18AAE2C7" w:rsidR="00B140B2" w:rsidRPr="00D168C3" w:rsidRDefault="00B140B2" w:rsidP="00AF188C">
      <w:pPr>
        <w:pStyle w:val="Listenabsatz"/>
        <w:jc w:val="both"/>
        <w:rPr>
          <w:rFonts w:cs="Arial"/>
        </w:rPr>
      </w:pPr>
      <w:r w:rsidRPr="00D168C3">
        <w:rPr>
          <w:rFonts w:cs="Arial"/>
        </w:rPr>
        <w:t>Der bisherige Absatz 2 wird neugefasst. Satz 1 entspricht dem bisherigen Wortlaut. Die bisherige in Satz 2 enthaltene Regelung zur Form der öffentlichen Bekanntmachung entfällt. Hier gilt jetzt die allgemeine Vorschrift der § 72 Absatz 1 Satz 1 in Verbindung mit § 27a Absatz 1 VwVfG M-V.</w:t>
      </w:r>
    </w:p>
    <w:p w14:paraId="6ECA9F2B" w14:textId="77777777" w:rsidR="001E6FC6" w:rsidRPr="00D168C3" w:rsidRDefault="001E6FC6" w:rsidP="00AF188C">
      <w:pPr>
        <w:pStyle w:val="Listenabsatz"/>
        <w:jc w:val="both"/>
        <w:rPr>
          <w:rFonts w:cs="Arial"/>
        </w:rPr>
      </w:pPr>
    </w:p>
    <w:p w14:paraId="598EB1E0" w14:textId="1F1DC523" w:rsidR="00B140B2" w:rsidRPr="00D168C3" w:rsidRDefault="00B140B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13:</w:t>
      </w:r>
    </w:p>
    <w:p w14:paraId="381708C4" w14:textId="5E318CD1" w:rsidR="00B140B2" w:rsidRPr="00D168C3" w:rsidRDefault="00B140B2" w:rsidP="00AF188C">
      <w:pPr>
        <w:pStyle w:val="Listenabsatz"/>
        <w:jc w:val="both"/>
        <w:rPr>
          <w:rFonts w:cs="Arial"/>
        </w:rPr>
      </w:pPr>
      <w:r w:rsidRPr="00D168C3">
        <w:rPr>
          <w:rFonts w:cs="Arial"/>
        </w:rPr>
        <w:t xml:space="preserve">Die umfassenden Änderungen im Zuge der Digitalisierung der Verfahrensschritte werden zum Anlass genommen, die bislang in wenigen Vorschriften getroffenen Regelungen neu und </w:t>
      </w:r>
      <w:r w:rsidRPr="00D168C3">
        <w:rPr>
          <w:rFonts w:cs="Arial"/>
        </w:rPr>
        <w:lastRenderedPageBreak/>
        <w:t>übersichtlicher zu ordnen. Sie sollen den Anwender leichter durch die einzelnen Verfahrensschritte leiten. Die einzelnen Verfahrensschritte des Planfeststellungsverfahrens werden dabei chronologisch abgebildet. Den Beginn macht der neue § 72a VwVfG M-V. Mit Einreichung des Plans beginnt das Planfeststellungsverfahren.</w:t>
      </w:r>
    </w:p>
    <w:p w14:paraId="697F0550" w14:textId="77777777" w:rsidR="00B140B2" w:rsidRPr="00D168C3" w:rsidRDefault="00B140B2" w:rsidP="00AF188C">
      <w:pPr>
        <w:pStyle w:val="Listenabsatz"/>
        <w:jc w:val="both"/>
        <w:rPr>
          <w:rFonts w:cs="Arial"/>
        </w:rPr>
      </w:pPr>
    </w:p>
    <w:p w14:paraId="2DF425BD" w14:textId="283FB7CA" w:rsidR="00B140B2" w:rsidRPr="00D168C3" w:rsidRDefault="00B140B2" w:rsidP="00AF188C">
      <w:pPr>
        <w:pStyle w:val="Listenabsatz"/>
        <w:jc w:val="both"/>
        <w:rPr>
          <w:rFonts w:cs="Arial"/>
        </w:rPr>
      </w:pPr>
      <w:r w:rsidRPr="00D168C3">
        <w:rPr>
          <w:rFonts w:cs="Arial"/>
        </w:rPr>
        <w:t>Absatz 1</w:t>
      </w:r>
    </w:p>
    <w:p w14:paraId="66B80E75" w14:textId="6E491B45" w:rsidR="00B140B2" w:rsidRPr="00D168C3" w:rsidRDefault="00B140B2" w:rsidP="00AF188C">
      <w:pPr>
        <w:pStyle w:val="Listenabsatz"/>
        <w:jc w:val="both"/>
        <w:rPr>
          <w:rFonts w:cs="Arial"/>
        </w:rPr>
      </w:pPr>
      <w:r w:rsidRPr="00D168C3">
        <w:rPr>
          <w:rFonts w:cs="Arial"/>
        </w:rPr>
        <w:t>Der neue Absatz 1 regelt das Verhältnis der Planfeststellungsbehörde zum T</w:t>
      </w:r>
      <w:r w:rsidR="001E6FC6" w:rsidRPr="00D168C3">
        <w:rPr>
          <w:rFonts w:cs="Arial"/>
        </w:rPr>
        <w:t>r</w:t>
      </w:r>
      <w:r w:rsidRPr="00D168C3">
        <w:rPr>
          <w:rFonts w:cs="Arial"/>
        </w:rPr>
        <w:t>äger des Vorhabens. Er übernimmt weitestgehend den bisherigen § 73 Absatz 1 Satz 1 VwVfG M-V. Der Träger des Vorhabens hat den vollständigen Plan der Planfeststellungsbehörde zur Durchführung des Anhörungsverfahrens nunmehr elektronisch einzureichen (Satz 1). Lediglich der bisherige Satz 2, der den Inhalt des einzureichenden Plans umschreibt, wird nicht übernommen. Er ist zu allgemein gehalten, um eine abschließende Auflistung der für das Planfeststellungsverfahren benötigten Unterlagen aufzulisten. Was an Unterlagen vorzulegen ist, ist eine Frage des Einzelfalls und wird letztlich durch die Planfeststellungsbehörde festgelegt. In der Praxis haben sich ohnehin Hinweise oder Richtlinien herausgebildet, die den Umfang der Unterlagen umschreiben und fortlaufend angepasst werden.</w:t>
      </w:r>
    </w:p>
    <w:p w14:paraId="3E0F94BE" w14:textId="77777777" w:rsidR="00B140B2" w:rsidRPr="00D168C3" w:rsidRDefault="00B140B2" w:rsidP="00AF188C">
      <w:pPr>
        <w:pStyle w:val="Listenabsatz"/>
        <w:jc w:val="both"/>
        <w:rPr>
          <w:rFonts w:cs="Arial"/>
        </w:rPr>
      </w:pPr>
      <w:r w:rsidRPr="00D168C3">
        <w:rPr>
          <w:rFonts w:cs="Arial"/>
        </w:rPr>
        <w:t>Einzureichen ist der vollständige Plan. Die Planfeststellungsbehörde kann prüfen, ob die Planunterlagen vollständig und vor allem aussagekräftig sind. Sind die Unterlagen unvollständig oder enthalten sie offensichtliche Unrichtigkeiten, wirkt die Planfeststellungsbehörde beim Träger des Vorhabens auf eine Ergänzung oder Berichtigung hin. Dies erfolgt dann im Vorfeld des Planfeststellungsverfahrens.</w:t>
      </w:r>
    </w:p>
    <w:p w14:paraId="02ED9022" w14:textId="296A0CB6" w:rsidR="00B140B2" w:rsidRPr="00D168C3" w:rsidRDefault="00B140B2" w:rsidP="00AF188C">
      <w:pPr>
        <w:pStyle w:val="Listenabsatz"/>
        <w:jc w:val="both"/>
        <w:rPr>
          <w:rFonts w:cs="Arial"/>
        </w:rPr>
      </w:pPr>
      <w:r w:rsidRPr="00D168C3">
        <w:rPr>
          <w:rFonts w:cs="Arial"/>
        </w:rPr>
        <w:t xml:space="preserve">Durch § 72a Absatz 1 Satz 2 VwVfG M-V wird sichergestellt, dass insbesondere militärische Sicherheitsinteressen umfassend geschützt werden. In dem zu veröffentlichenden Plan können je nach Vorhabenträger Daten/ Informationen enthalten sein, die Schlüsse auf die militärische Nutzung der Liegenschaften zulassen und/ oder für die Landes und Bündnisverteidigung relevant sein könnten. Die mögliche Kenntnisnahme unbefugter Personen muss ausgeschlossen werden, da ansonsten nicht nur das Risiko der Beeinträchtigung des Auftrags der Bundeswehr besteht, sondern ggf. sogar ein Sicherheitsrisiko. Bei der Bereitstellung von Dokumenten in digitaler Form ist die bestehende Gefahr des Zugriffs Unbefugter ungleich höher. Der Schutz des § 27b </w:t>
      </w:r>
      <w:r w:rsidR="001E1039">
        <w:rPr>
          <w:rFonts w:cs="Arial"/>
        </w:rPr>
        <w:t xml:space="preserve">Absatz </w:t>
      </w:r>
      <w:r w:rsidRPr="00D168C3">
        <w:rPr>
          <w:rFonts w:cs="Arial"/>
        </w:rPr>
        <w:t>4 VwVfG M-V ist hier nicht ausreichend, da Schutzgut dieser Regelung nur Geheimnisse i.S.d. § 30 VwVfG M-V sind, womit insbesondere Geheimnisse, die zum persönlichen Lebensbereich gehören sowie die Betriebs- und Geschäftsgeheimnisse gemeint sind. Dadurch werden aber die Sicherheitsinteressen der Bundeswehr nicht vollständig umfasst.</w:t>
      </w:r>
    </w:p>
    <w:p w14:paraId="2A8DC361" w14:textId="60957076" w:rsidR="00B140B2" w:rsidRPr="00D168C3" w:rsidRDefault="00B140B2" w:rsidP="00AF188C">
      <w:pPr>
        <w:pStyle w:val="Listenabsatz"/>
        <w:jc w:val="both"/>
        <w:rPr>
          <w:rFonts w:cs="Arial"/>
        </w:rPr>
      </w:pPr>
    </w:p>
    <w:p w14:paraId="6008418C" w14:textId="25BD9D3B" w:rsidR="00B140B2" w:rsidRPr="00D168C3" w:rsidRDefault="00B140B2" w:rsidP="00AF188C">
      <w:pPr>
        <w:pStyle w:val="Listenabsatz"/>
        <w:jc w:val="both"/>
        <w:rPr>
          <w:rFonts w:cs="Arial"/>
        </w:rPr>
      </w:pPr>
      <w:r w:rsidRPr="00D168C3">
        <w:rPr>
          <w:rFonts w:cs="Arial"/>
        </w:rPr>
        <w:t>Absatz 2</w:t>
      </w:r>
      <w:r w:rsidR="00AF494E" w:rsidRPr="00D168C3">
        <w:rPr>
          <w:rFonts w:cs="Arial"/>
        </w:rPr>
        <w:t xml:space="preserve"> und</w:t>
      </w:r>
      <w:r w:rsidRPr="00D168C3">
        <w:rPr>
          <w:rFonts w:cs="Arial"/>
        </w:rPr>
        <w:t xml:space="preserve"> 3</w:t>
      </w:r>
    </w:p>
    <w:p w14:paraId="6B57E23B" w14:textId="3373F66B" w:rsidR="00B140B2" w:rsidRPr="00D168C3" w:rsidRDefault="00B140B2" w:rsidP="00AF188C">
      <w:pPr>
        <w:pStyle w:val="Listenabsatz"/>
        <w:jc w:val="both"/>
        <w:rPr>
          <w:rFonts w:cs="Arial"/>
        </w:rPr>
      </w:pPr>
      <w:r w:rsidRPr="00D168C3">
        <w:rPr>
          <w:rFonts w:cs="Arial"/>
        </w:rPr>
        <w:t xml:space="preserve">Nach Absatz 2 kann die Planfeststellungsbehörde festlegen, dass der Plan über eine von ihr zur Verfügung gestellte Datenplattform einzureichen ist. Absatz 3 gibt ihr dann die Möglichkeit, dieses selbst und auch deren Nutzung weitere auszugestalten. Diese Regelungen sind erforderlich, da zwischen den Beteiligten klar sein muss, wie der elektronische Austausch technisch erfolgen soll, beispielsweise welche Dateiformate bei der Übermittlung zu nutzen sind oder, falls die Kommunikation über ein Datenportal abgewickelt werden soll, wie dieses genutzt wird, beispielsweise durch welches Anmeldeverfahren. Die Gestaltungsmöglichkeiten sind hier vielfältig. Hervorzuheben ist hier lediglich die Möglichkeit, eine Datenplattform zu verwenden, die auch eine digitale, modellbasierte Arbeitsmethode der Beteiligten an dem Vorhaben erlaubt. Gemeint ist hier beispielsweise BIM (Building Information Modeling), das eine durchgehende Digitalisierung aller planungs- und realisierungsrelevanten Bauwerksinformationen als virtuelles Bauwerksmodell umschreibt. Diese Methode enthält im Vergleich zu herkömmlichen, nicht vernetzten IT-Modellen deutlich mehr Informationen und </w:t>
      </w:r>
      <w:r w:rsidRPr="00D168C3">
        <w:rPr>
          <w:rFonts w:cs="Arial"/>
        </w:rPr>
        <w:lastRenderedPageBreak/>
        <w:t>schafft eine synchronisierte Datenbasis, auf die alle am Bau Beteiligten zugreifen können. Die Neuregelung in Absatz 2 stellt klar, dass die Planfeststellungsbehörde ein solches Modell für die weiteren Verfahrensschritte nutzen kann und dient dem Ziel der Bundesregierung, die BIM</w:t>
      </w:r>
      <w:r w:rsidR="00FB445C" w:rsidRPr="00D168C3">
        <w:rPr>
          <w:rFonts w:cs="Arial"/>
        </w:rPr>
        <w:t>-</w:t>
      </w:r>
      <w:r w:rsidRPr="00D168C3">
        <w:rPr>
          <w:rFonts w:cs="Arial"/>
        </w:rPr>
        <w:t>Methode flächendeckend und nach bundeseinheitlichen Rahmenbedingungen bei der Planung, der Genehmigung, dem Bau und der Instandhaltung von Bundesverkehrswegen und Infrastruktur anzuwenden.</w:t>
      </w:r>
    </w:p>
    <w:p w14:paraId="258EE75F" w14:textId="24CE33F0" w:rsidR="00B140B2" w:rsidRPr="00D168C3" w:rsidRDefault="00B140B2" w:rsidP="00AF188C">
      <w:pPr>
        <w:pStyle w:val="Listenabsatz"/>
        <w:jc w:val="both"/>
        <w:rPr>
          <w:rFonts w:cs="Arial"/>
        </w:rPr>
      </w:pPr>
      <w:r w:rsidRPr="00D168C3">
        <w:rPr>
          <w:rFonts w:cs="Arial"/>
        </w:rPr>
        <w:t>Zudem wird ein Antrags- und Beteiligungsportal für Verkehr und Offshore-Vorhaben (sog. Fachplanungsportal) für Infrastrukturvorhaben des Bundes in den Bereichen Schienenwege, Bundesfernstraßen und Bundeswasserstraßen sowie Windenergie auf See aufgebaut, um umfassende Informationen rund um Planfeststellungs- und Genehmigungsverfahren für Infrastrukturen sowie die Beteiligung der Öffentlichkeit und der Träger öffentlicher Belange online zu ermöglichen. Derzeit können Vorhabenträger ihre Anträge online über das Portal einreichen. Zudem können sich Bürgerinnen und Bürger, öffentliche Stellen und weitere Beteiligte wie Umwelt und Naturschutzverbände über Vorhaben informieren und dazu online Einwendungen und Stellungnahmen abgeben.</w:t>
      </w:r>
    </w:p>
    <w:p w14:paraId="17666168" w14:textId="764EFDC0" w:rsidR="00B140B2" w:rsidRPr="00D168C3" w:rsidRDefault="00B140B2" w:rsidP="00AF188C">
      <w:pPr>
        <w:pStyle w:val="Listenabsatz"/>
        <w:jc w:val="both"/>
        <w:rPr>
          <w:rFonts w:cs="Arial"/>
        </w:rPr>
      </w:pPr>
      <w:r w:rsidRPr="00D168C3">
        <w:rPr>
          <w:rFonts w:cs="Arial"/>
        </w:rPr>
        <w:t>Es können auch Verfahren nach § 3a VwVfG M-V genutzt werden. Die Regelungen, bspw. in § 3a Absatz 2 und 3 sind zwar darauf ausgelegt, die schriftliche Kommunikation zwischen Beteiligten zu ersetzen (die im Planfeststellungsverfahren gesetzlich nicht angeordnet ist), schließen aber nicht aus, dass diese elektronischen Verfahren genutzt werden.</w:t>
      </w:r>
    </w:p>
    <w:p w14:paraId="0AE3B95C" w14:textId="242D24ED" w:rsidR="00B140B2" w:rsidRPr="00D168C3" w:rsidRDefault="00B140B2" w:rsidP="00AF188C">
      <w:pPr>
        <w:pStyle w:val="Listenabsatz"/>
        <w:jc w:val="both"/>
        <w:rPr>
          <w:rFonts w:cs="Arial"/>
        </w:rPr>
      </w:pPr>
    </w:p>
    <w:p w14:paraId="291678F7" w14:textId="70831C58" w:rsidR="00FB445C" w:rsidRPr="00D168C3" w:rsidRDefault="00FB445C" w:rsidP="00AF188C">
      <w:pPr>
        <w:pStyle w:val="Listenabsatz"/>
        <w:jc w:val="both"/>
        <w:rPr>
          <w:rFonts w:cs="Arial"/>
        </w:rPr>
      </w:pPr>
      <w:r w:rsidRPr="00D168C3">
        <w:rPr>
          <w:rFonts w:cs="Arial"/>
        </w:rPr>
        <w:t>Der neue §§ 72a Absatz 2 und Absatz 3 VwVfG M-V macht deutlich, dass der Gesetzgeber von dem Grundsatz ausgeht, dass die Verfahrensschritte digital durchzuführen sind. Die nachfolgenden Vorschriften der §§ 73ff. VwVfG greifen dies nochmal klarstellend auf, indem sie auf die elektronische Vornahme bestimmter Verfahrenshandlungen abstellen.</w:t>
      </w:r>
    </w:p>
    <w:p w14:paraId="41CEF04B" w14:textId="5B437852" w:rsidR="00FB445C" w:rsidRPr="00D168C3" w:rsidRDefault="00FB445C" w:rsidP="00AF188C">
      <w:pPr>
        <w:pStyle w:val="Listenabsatz"/>
        <w:jc w:val="both"/>
        <w:rPr>
          <w:rFonts w:cs="Arial"/>
        </w:rPr>
      </w:pPr>
      <w:r w:rsidRPr="00D168C3">
        <w:rPr>
          <w:rFonts w:cs="Arial"/>
        </w:rPr>
        <w:t>Für die Anwendung der §§ 73ff. VwVfG M-V sind zudem die neuen §§ 27a, 27b VwVfG M-V von besonderer Bedeutung, die über § 72 Absatz 1 VwVfG M-V anzuwenden sind und als allgemeine Vorschriften weitergehende Regelungen zur Digitalisierung treffen. Die Vorschriften bauen aufeinander auf. Die Auslegung der Planunterlagen (§ 73 Absatz 1 VwVfG M-V) erfolgt durch die Veröffentlichung auf der Internetseite der Behörde. Gleiches gilt für die vorherige Bekanntgabe der Auslegung (§ 73 Absatz 3 Satz 1 VwVfG M-V). Durch die Neuregelung werden alle analogen Verfahrensschritte im Rahmen des Planfeststellungsverfahrens durch digitale Schritte ersetzt. Das den bisherigen §§ 27a, 27 b VwVfG M-V zu Grunde liegende Konzept, wonach digitale Schritte nur neben analogen Schritten möglich sind, wird ausdrücklich aufgegeben. Das VwVfG übernimmt damit bestehende Regelungen zum Planfeststellungsverfahren aus anderen Fachgesetzen (§§ 17a, 17b FStrG, §§ 14, 14a WaStrG, §§ 18a, 18b AEG) und führt sie zu einer einheitlichen Regelung zusammen.  Die Fachregelungen sollen so abgelöst oder zumindest verschlankt werden. Ziel ist ein einheitliches Verfahrensrecht für alle Vorhabensträger, was dann zur Beschleunigung aller Verfahren beitragen soll. Eine Ausnahme vom Grundsatz der digitalen Durchführung bildet die Durchführung des Erörterungstermins. Der neue § 73b VwVfG M-V geht von dem Grundsatz aus, dass dieser analog, d.h. durch eine Besprechung vor Ort durchgeführt wird, sofern die Planfeststellungsbehörde diesen für erforderlich hält. Die Ersetzung des Erörterungstermins durch digitale Formate ist hier in das Ermessen der Planfeststellungsbehörde gestellt. Hintergrund ist, dass sich in der Praxis gezeigt hat, dass trotz digitaler Konferenztechnik die Erörterung vor Ort in den Gemeinden seitens der Behörde, wie in der Regel auch des Trägers des Vorhabens gewünscht wird.</w:t>
      </w:r>
    </w:p>
    <w:p w14:paraId="72EE5337" w14:textId="3AE53CAC" w:rsidR="00FB445C" w:rsidRPr="00D168C3" w:rsidRDefault="00FB445C" w:rsidP="00AF188C">
      <w:pPr>
        <w:pStyle w:val="Listenabsatz"/>
        <w:jc w:val="both"/>
        <w:rPr>
          <w:rFonts w:cs="Arial"/>
        </w:rPr>
      </w:pPr>
      <w:r w:rsidRPr="00D168C3">
        <w:rPr>
          <w:rFonts w:cs="Arial"/>
        </w:rPr>
        <w:t xml:space="preserve">Sollte eine vorgesehene elektronische Durchführung des Planfeststellungsverfahrens aus technischen Gründen nicht möglich, bestimmt die Planfeststellungsbehörde das weitere Vorgehen, soweit in den nachfolgenden Rechtsvorschriften nichts anderes bestimmt ist. Dies </w:t>
      </w:r>
      <w:r w:rsidRPr="00D168C3">
        <w:rPr>
          <w:rFonts w:cs="Arial"/>
        </w:rPr>
        <w:lastRenderedPageBreak/>
        <w:t>dient als Auffangklausel, um die Durchführung des Planfeststellungsverfahrens zu gewährleisten.</w:t>
      </w:r>
    </w:p>
    <w:p w14:paraId="64BF9111" w14:textId="77777777" w:rsidR="00FB445C" w:rsidRPr="00D168C3" w:rsidRDefault="00FB445C" w:rsidP="00AF188C">
      <w:pPr>
        <w:pStyle w:val="Listenabsatz"/>
        <w:jc w:val="both"/>
        <w:rPr>
          <w:rFonts w:cs="Arial"/>
        </w:rPr>
      </w:pPr>
    </w:p>
    <w:p w14:paraId="136FF4A6" w14:textId="02271482" w:rsidR="00B140B2" w:rsidRPr="00D168C3" w:rsidRDefault="00B140B2"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14:</w:t>
      </w:r>
    </w:p>
    <w:p w14:paraId="5F2CDEE1" w14:textId="3923BD7C" w:rsidR="00FB445C" w:rsidRPr="00D168C3" w:rsidRDefault="00FB445C" w:rsidP="00AF188C">
      <w:pPr>
        <w:pStyle w:val="Listenabsatz"/>
        <w:jc w:val="both"/>
        <w:rPr>
          <w:rFonts w:cs="Arial"/>
        </w:rPr>
      </w:pPr>
      <w:r w:rsidRPr="00D168C3">
        <w:rPr>
          <w:rFonts w:cs="Arial"/>
        </w:rPr>
        <w:t>§ 73 VwVfG M-V ist in der geltenden Fassung die zentrale Vorschrift zur Durchführung des Anhörungsverfahrens sowie für die Beteiligung der Behörden. In der neuen Fassung regelt die Vorschrift das Verhältnis von Planfeststellungsbehörde zu den Betroffenen einschließlich der Vereinigungen. Daher ist er kürzer als bislang gefasst. Die Beteiligung der Behörden wird in § 73a VwVfG ausgelagert. § 73 VwVfG M-V geht bislang von einer analogen Durchführung der Verfahrensschritte aus, wie beispielsweise die physische Auslegung der Planunterlagen in den Gemeinden vor Ort (und durch diese) und die vorherige Information darüber durch (physische) Bekanntmachung durch die Gemeinde. Auch die Kommunikation mit den Beteiligten, ob andere Fachbehörden oder Betroffene (Private) sowie Vereinigungen, geht vom Grundsatz her von der Schriftlichkeit aus, d. h. einer analogen Verfahrensabwicklung. Die die Schriftlichkeit ersetzenden Möglichkeiten, wie sie § 3a VwVfG vorsieht, gelten nur für einzelne Verfahrensschritte, nicht hingegen als allgemeine Grundsätze.</w:t>
      </w:r>
    </w:p>
    <w:p w14:paraId="576F5672" w14:textId="28AF6D0A" w:rsidR="00FB445C" w:rsidRPr="00D168C3" w:rsidRDefault="00FB445C" w:rsidP="00AF188C">
      <w:pPr>
        <w:pStyle w:val="Listenabsatz"/>
        <w:jc w:val="both"/>
        <w:rPr>
          <w:rFonts w:cs="Arial"/>
        </w:rPr>
      </w:pPr>
      <w:r w:rsidRPr="00D168C3">
        <w:rPr>
          <w:rFonts w:cs="Arial"/>
        </w:rPr>
        <w:t>Die Auslegung der Planunterlagen (§ 73 Absatz 1 VwVfG M-V) erfolgt nun durch die Veröffentlichung auf der Internetseite der Behörde (vgl. § 27b VwVfG M-V). Gleiches gilt für die vorherige Bekanntgabe der Auslegung (§ 73 Absatz 3 Satz 1 VwVfG M-V), die nach Maßgabe von § 27a VwVfG M-V im Internet bekannt gemacht wird. Das VwVfG M-V übernimmt damit im Wesentlichen bestehende Regelungen zum Planfeststellungsverfahren aus anderen Fachgesetzen (§§ 17a, 17b FStrG, §§ 14, 14a WaStrG, §§ 18a, 18b AEG) und führt sie zu einer einheitlichen Regelung zusammen.</w:t>
      </w:r>
    </w:p>
    <w:p w14:paraId="65544527" w14:textId="77777777" w:rsidR="00FB445C" w:rsidRPr="00D168C3" w:rsidRDefault="00FB445C" w:rsidP="00AF188C">
      <w:pPr>
        <w:pStyle w:val="Listenabsatz"/>
        <w:jc w:val="both"/>
        <w:rPr>
          <w:rFonts w:cs="Arial"/>
        </w:rPr>
      </w:pPr>
    </w:p>
    <w:p w14:paraId="6CEDDF07" w14:textId="28316B0F" w:rsidR="00FB445C" w:rsidRPr="00D168C3" w:rsidRDefault="00FB445C" w:rsidP="00AF188C">
      <w:pPr>
        <w:pStyle w:val="Listenabsatz"/>
        <w:jc w:val="both"/>
        <w:rPr>
          <w:rFonts w:cs="Arial"/>
        </w:rPr>
      </w:pPr>
      <w:r w:rsidRPr="00D168C3">
        <w:rPr>
          <w:rFonts w:cs="Arial"/>
        </w:rPr>
        <w:t>Absatz 1</w:t>
      </w:r>
      <w:r w:rsidR="00AF494E" w:rsidRPr="00D168C3">
        <w:rPr>
          <w:rFonts w:cs="Arial"/>
        </w:rPr>
        <w:t xml:space="preserve"> und </w:t>
      </w:r>
      <w:r w:rsidRPr="00D168C3">
        <w:rPr>
          <w:rFonts w:cs="Arial"/>
        </w:rPr>
        <w:t>2</w:t>
      </w:r>
    </w:p>
    <w:p w14:paraId="134AA0ED" w14:textId="4F283713" w:rsidR="00FB445C" w:rsidRPr="00D168C3" w:rsidRDefault="00FB445C" w:rsidP="00AF188C">
      <w:pPr>
        <w:pStyle w:val="Listenabsatz"/>
        <w:jc w:val="both"/>
        <w:rPr>
          <w:rFonts w:cs="Arial"/>
        </w:rPr>
      </w:pPr>
      <w:r w:rsidRPr="00D168C3">
        <w:rPr>
          <w:rFonts w:cs="Arial"/>
        </w:rPr>
        <w:t>Die Regelungen zum Anhörungsverfahrens für Betroffene und Vereinigungen entsprechen den bisherigen Anforderungen beispielsweise zum Beteiligungsumfang. Sie werden im Hinblick auf eine digitalisierte Ausgestaltung angepasst. Stellungnahmen anerkannter Vereinigungen und Einwendungen von Betroffenen sind nunmehr elektronisch abzugeben. Es entfällt die Regelung, wonach Einwendungen schriftlich oder zur Niederschrift bei der Gemeinde vor Ort vorgebracht werden können. Hintergrund ist, dass von dieser Möglichkeit kaum Gebrauch gemacht wird. Ist die elektronische Erhebung oder Abgabe im Einzelfall nicht zumutbar, stellt die Planfeststellungsbehörde auf Verlangen eine andere Weise zur Verfügung (Absatz 2 Satz 2). Welche andere Weise gewählt wird, steht im Ermessen der Planfeststellungsbehörde. Weiter wird klargestellt, dass Einwendungen gegenüber der Planfeststellungsbehörde abzugeben sind.</w:t>
      </w:r>
    </w:p>
    <w:p w14:paraId="10F3BFEC" w14:textId="72167B53" w:rsidR="00FB445C" w:rsidRPr="00D168C3" w:rsidRDefault="00FB445C" w:rsidP="00AF188C">
      <w:pPr>
        <w:pStyle w:val="Listenabsatz"/>
        <w:jc w:val="both"/>
        <w:rPr>
          <w:rFonts w:cs="Arial"/>
        </w:rPr>
      </w:pPr>
    </w:p>
    <w:p w14:paraId="00D2B83C" w14:textId="77777777" w:rsidR="00FB445C" w:rsidRPr="00D168C3" w:rsidRDefault="00FB445C" w:rsidP="00AF188C">
      <w:pPr>
        <w:pStyle w:val="Listenabsatz"/>
        <w:jc w:val="both"/>
        <w:rPr>
          <w:rFonts w:cs="Arial"/>
        </w:rPr>
      </w:pPr>
      <w:r w:rsidRPr="00D168C3">
        <w:rPr>
          <w:rFonts w:cs="Arial"/>
        </w:rPr>
        <w:t>Die bislang vorgesehene physische Auslegung der Pläne vor Ort in den jeweiligen vom Vorhaben betroffenen Gemeinden entfällt. Die Auslegung erfolgt nun durch Veröffentlichung der Pläne auf der Internetseite der Planfeststellungsbehörde.</w:t>
      </w:r>
    </w:p>
    <w:p w14:paraId="63862100" w14:textId="269D3BD2" w:rsidR="00FB445C" w:rsidRPr="00D168C3" w:rsidRDefault="00FB445C" w:rsidP="00AF188C">
      <w:pPr>
        <w:pStyle w:val="Listenabsatz"/>
        <w:jc w:val="both"/>
        <w:rPr>
          <w:rFonts w:cs="Arial"/>
        </w:rPr>
      </w:pPr>
      <w:r w:rsidRPr="00D168C3">
        <w:rPr>
          <w:rFonts w:cs="Arial"/>
        </w:rPr>
        <w:t>Die bisherige Dauer von Auslegungs- und Einwendungsfrist wird beibehalten. Die Auslegungsfrist beträgt einen Monat, die Ei</w:t>
      </w:r>
      <w:r w:rsidR="001E529E">
        <w:rPr>
          <w:rFonts w:cs="Arial"/>
        </w:rPr>
        <w:t>n</w:t>
      </w:r>
      <w:r w:rsidRPr="00D168C3">
        <w:rPr>
          <w:rFonts w:cs="Arial"/>
        </w:rPr>
        <w:t xml:space="preserve">wendungsfrist 6 Wochen, beginnt aber nun neu ab der Auslegung, d.h. der Veröffentlichung des Plans im Internet. Die Veröffentlichung im Internet bringt erhebliche Vorteile: Zum einen werden Verwaltungskosten eingespart. Die Gemeinden, die entsprechende Räume und Aufsichtspersonal für die Zeit der Auslegung bereitstellen müssen, werden entlastet und auch der Träger des Vorhabens spart durch den Verzicht auf den mehrfachen physischen Ausdruck der zur Auslegung bestimmten Exemplare Kosten ein. Zum anderen wird dem Bedürfnis Rechnung getragen, das Verwaltungsverfahren transparenter zu gestalten. Die Informationen über das Vorhaben finden sich nun für den </w:t>
      </w:r>
      <w:r w:rsidRPr="00D168C3">
        <w:rPr>
          <w:rFonts w:cs="Arial"/>
        </w:rPr>
        <w:lastRenderedPageBreak/>
        <w:t>Betroffenen dort, wo er sie erwartet, nämlich auf der Internetseite der Planfeststellungsbehörde. Und dort, wo die Informationen abgerufen werden, erfolgt auch die Möglichkeit der Beteiligung und mit der Abgabe von Stellungnahmen und Erhebung von Einwendungen auf digitalem Weg wird eine einfache und zeitgemäße Form der Beteiligung ermöglicht, die etwaige jetzt bestehende Hürden abbaut. Das Verfahren wird zudem vereinheitlicht indem beispielsweise unterschiedliche Auslegungszeiträume in verschiedenen Gemeinden vermieden werden. Für den Fall, dass einem Beteiligten keine zumutbare Möglichkeit der digitalen Kommunikation zur Verfügung steht, soll er sich während der Dauer der Auslegungsfrist mit der Planfeststellungsbehörde abstimmen, wie ihm ein anderweitiger Zugang oder Informationen zum Vorhaben zur Verfügung gestellt werden kann (Absatz 1 Satz 2). Die Regelung beruht auf entsprechenden Vorschriften in einzelnen Fachgesetzen (z.B. § 17a Absatz 3 Satz 2 FStrG, § 18a Absatz 3 Satz 2 AEG und § 14a Absatz 3 Satz 2 WaStrG). Welche Form gewählt wird, steht im Ermessen der Planfeststellungsbehörde. In der Regel wird die Übersendung eines gängigen elektronischen Speichermediums sein, auf dem die auszulegenden Unterlagen gespeichert sind, wie dies bspw. § 22 Absatz 3 Satz 2 NABEG vorsieht. Möglich ist aber auch eine digitale Einsichtnahme in der Behörde selbst. Die Regelung regelt nicht die Anforderungen an die Barrierefreiheit beim Zugang zu Dokumenten.</w:t>
      </w:r>
    </w:p>
    <w:p w14:paraId="4D8E0815" w14:textId="54D5B861" w:rsidR="00B140B2" w:rsidRPr="00D168C3" w:rsidRDefault="00B140B2" w:rsidP="00AF188C">
      <w:pPr>
        <w:pStyle w:val="Listenabsatz"/>
        <w:jc w:val="both"/>
        <w:rPr>
          <w:rFonts w:cs="Arial"/>
        </w:rPr>
      </w:pPr>
    </w:p>
    <w:p w14:paraId="260F5155" w14:textId="1491EFA2" w:rsidR="00FB445C" w:rsidRPr="00D168C3" w:rsidRDefault="00FB445C" w:rsidP="00AF188C">
      <w:pPr>
        <w:pStyle w:val="Listenabsatz"/>
        <w:jc w:val="both"/>
        <w:rPr>
          <w:rFonts w:cs="Arial"/>
        </w:rPr>
      </w:pPr>
      <w:r w:rsidRPr="00D168C3">
        <w:rPr>
          <w:rFonts w:cs="Arial"/>
        </w:rPr>
        <w:t>Absatz 3</w:t>
      </w:r>
    </w:p>
    <w:p w14:paraId="5C5662AD" w14:textId="3C263840" w:rsidR="00FB445C" w:rsidRPr="00D168C3" w:rsidRDefault="00FB445C" w:rsidP="00AF188C">
      <w:pPr>
        <w:pStyle w:val="Listenabsatz"/>
        <w:jc w:val="both"/>
        <w:rPr>
          <w:rFonts w:cs="Arial"/>
        </w:rPr>
      </w:pPr>
      <w:r w:rsidRPr="00D168C3">
        <w:rPr>
          <w:rFonts w:cs="Arial"/>
        </w:rPr>
        <w:t>Die Auslegung der Planunterlagen wird, wie bisher auch, vorab öffentlich bekannt gemacht (Satz 1). Hierfür gilt § 27a. Für den Inhalt der Bekanntmachung gilt § 27b Absatz 2 VwVfG M-V. Zu nennen sind bspw. Zeitraum und die Internetseite, auf der die Planunterlagen veröffentlicht werden. Zusätzlich sind die Angaben nach Satz 2 aufzunehmen.</w:t>
      </w:r>
    </w:p>
    <w:p w14:paraId="2148C891" w14:textId="004329F0" w:rsidR="00FB445C" w:rsidRPr="00D168C3" w:rsidRDefault="00FB445C" w:rsidP="00AF188C">
      <w:pPr>
        <w:pStyle w:val="Listenabsatz"/>
        <w:jc w:val="both"/>
        <w:rPr>
          <w:rFonts w:cs="Arial"/>
        </w:rPr>
      </w:pPr>
    </w:p>
    <w:p w14:paraId="2D691620" w14:textId="300B9880" w:rsidR="00FB445C" w:rsidRPr="00D168C3" w:rsidRDefault="00FB445C" w:rsidP="00AF188C">
      <w:pPr>
        <w:pStyle w:val="Listenabsatz"/>
        <w:jc w:val="both"/>
        <w:rPr>
          <w:rFonts w:cs="Arial"/>
        </w:rPr>
      </w:pPr>
      <w:r w:rsidRPr="00D168C3">
        <w:rPr>
          <w:rFonts w:cs="Arial"/>
        </w:rPr>
        <w:t xml:space="preserve">Zu </w:t>
      </w:r>
      <w:r w:rsidR="00CF7346" w:rsidRPr="00D168C3">
        <w:rPr>
          <w:rFonts w:cs="Arial"/>
        </w:rPr>
        <w:t>Nummer</w:t>
      </w:r>
      <w:r w:rsidRPr="00D168C3">
        <w:rPr>
          <w:rFonts w:cs="Arial"/>
        </w:rPr>
        <w:t xml:space="preserve"> 15:</w:t>
      </w:r>
    </w:p>
    <w:p w14:paraId="780DB7BB" w14:textId="77777777" w:rsidR="00144EBA" w:rsidRPr="00D168C3" w:rsidRDefault="00144EBA" w:rsidP="00AF188C">
      <w:pPr>
        <w:pStyle w:val="Listenabsatz"/>
        <w:jc w:val="both"/>
        <w:rPr>
          <w:rFonts w:cs="Arial"/>
        </w:rPr>
      </w:pPr>
    </w:p>
    <w:p w14:paraId="0C547187" w14:textId="37392C54" w:rsidR="00FB445C" w:rsidRPr="00D168C3" w:rsidRDefault="00144EBA" w:rsidP="00AF188C">
      <w:pPr>
        <w:pStyle w:val="Listenabsatz"/>
        <w:jc w:val="both"/>
        <w:rPr>
          <w:rFonts w:cs="Arial"/>
        </w:rPr>
      </w:pPr>
      <w:r w:rsidRPr="00D168C3">
        <w:rPr>
          <w:rFonts w:cs="Arial"/>
        </w:rPr>
        <w:t xml:space="preserve">Zu </w:t>
      </w:r>
      <w:r w:rsidR="00FB445C" w:rsidRPr="00D168C3">
        <w:rPr>
          <w:rFonts w:cs="Arial"/>
        </w:rPr>
        <w:t xml:space="preserve">§ 73a </w:t>
      </w:r>
    </w:p>
    <w:p w14:paraId="7A279FC5" w14:textId="77777777" w:rsidR="00144EBA" w:rsidRPr="00D168C3" w:rsidRDefault="00144EBA" w:rsidP="00AF188C">
      <w:pPr>
        <w:pStyle w:val="Listenabsatz"/>
        <w:jc w:val="both"/>
        <w:rPr>
          <w:rFonts w:cs="Arial"/>
        </w:rPr>
      </w:pPr>
    </w:p>
    <w:p w14:paraId="48CF12AA" w14:textId="77777777" w:rsidR="00FB445C" w:rsidRPr="00D168C3" w:rsidRDefault="00FB445C" w:rsidP="00AF188C">
      <w:pPr>
        <w:pStyle w:val="Listenabsatz"/>
        <w:jc w:val="both"/>
        <w:rPr>
          <w:rFonts w:cs="Arial"/>
        </w:rPr>
      </w:pPr>
      <w:r w:rsidRPr="00D168C3">
        <w:rPr>
          <w:rFonts w:cs="Arial"/>
        </w:rPr>
        <w:t xml:space="preserve">Der neue § 73a fasst die bisherigen Regelungen zur Behördenbeteiligung zusammen und übernimmt weitestgehend die bisherigen Regelungen. </w:t>
      </w:r>
    </w:p>
    <w:p w14:paraId="6A80C8DD" w14:textId="77777777" w:rsidR="00FB445C" w:rsidRPr="00D168C3" w:rsidRDefault="00FB445C" w:rsidP="00AF188C">
      <w:pPr>
        <w:pStyle w:val="Listenabsatz"/>
        <w:jc w:val="both"/>
        <w:rPr>
          <w:rFonts w:cs="Arial"/>
        </w:rPr>
      </w:pPr>
    </w:p>
    <w:p w14:paraId="4C2224BE" w14:textId="3B709E97" w:rsidR="00FB445C" w:rsidRPr="00D168C3" w:rsidRDefault="00FB445C" w:rsidP="00AF188C">
      <w:pPr>
        <w:pStyle w:val="Listenabsatz"/>
        <w:jc w:val="both"/>
        <w:rPr>
          <w:rFonts w:cs="Arial"/>
        </w:rPr>
      </w:pPr>
      <w:r w:rsidRPr="00D168C3">
        <w:rPr>
          <w:rFonts w:cs="Arial"/>
        </w:rPr>
        <w:t>Absatz 1</w:t>
      </w:r>
    </w:p>
    <w:p w14:paraId="3E3ED967" w14:textId="77777777" w:rsidR="00FB445C" w:rsidRPr="00D168C3" w:rsidRDefault="00FB445C" w:rsidP="00AF188C">
      <w:pPr>
        <w:pStyle w:val="Listenabsatz"/>
        <w:jc w:val="both"/>
        <w:rPr>
          <w:rFonts w:cs="Arial"/>
        </w:rPr>
      </w:pPr>
      <w:r w:rsidRPr="00D168C3">
        <w:rPr>
          <w:rFonts w:cs="Arial"/>
        </w:rPr>
        <w:t xml:space="preserve">Neu ist in Absatz 1, dass die Einholung der Stellungnahmen nun mit Auslegung des Plans, d.h. mit dessen Veröffentlichung auf der Internetseite der Planfeststellungsbehörde beginnt. Nach § 73 Absatz 1 wiederum erfolgt die Auslegung innerhalb von drei Wochen nach Zugang des Plans. Bislang betrug die Frist bis zu einem Monat. Hier gibt es nun einen Gleichlauf mit § 73 Absatz 1 VwVfG M-V. Wie bislang auch, kann die Planfeststellungsbehörde die Behörden auch früher zur Stellungnahme auffordern. </w:t>
      </w:r>
    </w:p>
    <w:p w14:paraId="5167D6AD" w14:textId="77777777" w:rsidR="00FB445C" w:rsidRPr="00D168C3" w:rsidRDefault="00FB445C" w:rsidP="00AF188C">
      <w:pPr>
        <w:pStyle w:val="Listenabsatz"/>
        <w:jc w:val="both"/>
        <w:rPr>
          <w:rFonts w:cs="Arial"/>
        </w:rPr>
      </w:pPr>
    </w:p>
    <w:p w14:paraId="625DC781" w14:textId="77777777" w:rsidR="00FB445C" w:rsidRPr="00D168C3" w:rsidRDefault="00FB445C" w:rsidP="00AF188C">
      <w:pPr>
        <w:pStyle w:val="Listenabsatz"/>
        <w:jc w:val="both"/>
        <w:rPr>
          <w:rFonts w:cs="Arial"/>
        </w:rPr>
      </w:pPr>
      <w:r w:rsidRPr="00D168C3">
        <w:rPr>
          <w:rFonts w:cs="Arial"/>
        </w:rPr>
        <w:t>Absatz 2</w:t>
      </w:r>
    </w:p>
    <w:p w14:paraId="30DC162A" w14:textId="116F69F7" w:rsidR="00FB445C" w:rsidRPr="00D168C3" w:rsidRDefault="00FB445C" w:rsidP="00AF188C">
      <w:pPr>
        <w:pStyle w:val="Listenabsatz"/>
        <w:jc w:val="both"/>
        <w:rPr>
          <w:rFonts w:cs="Arial"/>
        </w:rPr>
      </w:pPr>
      <w:r w:rsidRPr="00D168C3">
        <w:rPr>
          <w:rFonts w:cs="Arial"/>
        </w:rPr>
        <w:t>Absatz 2 legt fest, dass die Behörden ihre Stellung</w:t>
      </w:r>
      <w:r w:rsidR="001E529E">
        <w:rPr>
          <w:rFonts w:cs="Arial"/>
        </w:rPr>
        <w:t>n</w:t>
      </w:r>
      <w:r w:rsidRPr="00D168C3">
        <w:rPr>
          <w:rFonts w:cs="Arial"/>
        </w:rPr>
        <w:t xml:space="preserve">ahmen elektronisch übermitteln müssen. Die Verpflichtung zur elektronischen Übermittelung vermeidet Verzögerungen durch Postlaufzeiten und ermöglicht eine parallele Bearbeitung. </w:t>
      </w:r>
    </w:p>
    <w:p w14:paraId="06DCBDD1" w14:textId="77777777" w:rsidR="00FB445C" w:rsidRPr="00D168C3" w:rsidRDefault="00FB445C" w:rsidP="00AF188C">
      <w:pPr>
        <w:pStyle w:val="Listenabsatz"/>
        <w:jc w:val="both"/>
        <w:rPr>
          <w:rFonts w:cs="Arial"/>
        </w:rPr>
      </w:pPr>
    </w:p>
    <w:p w14:paraId="055AEA5A" w14:textId="77777777" w:rsidR="00FB445C" w:rsidRPr="00D168C3" w:rsidRDefault="00FB445C" w:rsidP="00AF188C">
      <w:pPr>
        <w:pStyle w:val="Listenabsatz"/>
        <w:jc w:val="both"/>
        <w:rPr>
          <w:rFonts w:cs="Arial"/>
        </w:rPr>
      </w:pPr>
      <w:r w:rsidRPr="00D168C3">
        <w:rPr>
          <w:rFonts w:cs="Arial"/>
        </w:rPr>
        <w:t>Absatz 3</w:t>
      </w:r>
    </w:p>
    <w:p w14:paraId="14F43854" w14:textId="77C61685" w:rsidR="00FB445C" w:rsidRPr="00D168C3" w:rsidRDefault="00FB445C" w:rsidP="00AF188C">
      <w:pPr>
        <w:pStyle w:val="Listenabsatz"/>
        <w:jc w:val="both"/>
        <w:rPr>
          <w:rFonts w:cs="Arial"/>
        </w:rPr>
      </w:pPr>
      <w:r w:rsidRPr="00D168C3">
        <w:rPr>
          <w:rFonts w:cs="Arial"/>
        </w:rPr>
        <w:t xml:space="preserve">Neu ist die Vorgabe in Absatz 3, dass eine in mehreren Aufgabenbereichen betroffene Behörde eine einheitliche Stellungnahme abzugeben hat. Damit wird verhindert, dass widersprüchliche Bewertungen innerhalb derselben Behörde das Verfahren durch Rückfragen verzögern oder die Entscheidungsgrundlage verkomplizieren, weil beispielsweise unklar </w:t>
      </w:r>
      <w:r w:rsidRPr="00D168C3">
        <w:rPr>
          <w:rFonts w:cs="Arial"/>
        </w:rPr>
        <w:lastRenderedPageBreak/>
        <w:t>bleibt, ob die Fachbehörde Schutzauflagen fordert oder nicht oder wie diese auszugestalten sind.</w:t>
      </w:r>
    </w:p>
    <w:p w14:paraId="2CEB9D16" w14:textId="65F62337" w:rsidR="00FB445C" w:rsidRPr="00D168C3" w:rsidRDefault="00FB445C" w:rsidP="00AF188C">
      <w:pPr>
        <w:pStyle w:val="Listenabsatz"/>
        <w:jc w:val="both"/>
        <w:rPr>
          <w:rFonts w:cs="Arial"/>
        </w:rPr>
      </w:pPr>
    </w:p>
    <w:p w14:paraId="5E458901" w14:textId="27665820" w:rsidR="00422638" w:rsidRPr="00D168C3" w:rsidRDefault="00144EBA" w:rsidP="00AF188C">
      <w:pPr>
        <w:pStyle w:val="Listenabsatz"/>
        <w:jc w:val="both"/>
        <w:rPr>
          <w:rFonts w:cs="Arial"/>
        </w:rPr>
      </w:pPr>
      <w:r w:rsidRPr="00D168C3">
        <w:rPr>
          <w:rFonts w:cs="Arial"/>
        </w:rPr>
        <w:t xml:space="preserve">Zu </w:t>
      </w:r>
      <w:r w:rsidR="00FB445C" w:rsidRPr="00D168C3">
        <w:rPr>
          <w:rFonts w:cs="Arial"/>
        </w:rPr>
        <w:t xml:space="preserve">§ 73b </w:t>
      </w:r>
    </w:p>
    <w:p w14:paraId="10F6C0A1" w14:textId="77777777" w:rsidR="00144EBA" w:rsidRPr="00D168C3" w:rsidRDefault="00144EBA" w:rsidP="00AF188C">
      <w:pPr>
        <w:pStyle w:val="Listenabsatz"/>
        <w:jc w:val="both"/>
        <w:rPr>
          <w:rFonts w:cs="Arial"/>
        </w:rPr>
      </w:pPr>
    </w:p>
    <w:p w14:paraId="405BAF13" w14:textId="7A40F441" w:rsidR="00FB445C" w:rsidRPr="00D168C3" w:rsidRDefault="00422638" w:rsidP="00AF188C">
      <w:pPr>
        <w:pStyle w:val="Listenabsatz"/>
        <w:jc w:val="both"/>
        <w:rPr>
          <w:rFonts w:cs="Arial"/>
        </w:rPr>
      </w:pPr>
      <w:r w:rsidRPr="00D168C3">
        <w:rPr>
          <w:rFonts w:cs="Arial"/>
        </w:rPr>
        <w:t xml:space="preserve">§ 73b </w:t>
      </w:r>
      <w:r w:rsidR="00FB445C" w:rsidRPr="00D168C3">
        <w:rPr>
          <w:rFonts w:cs="Arial"/>
        </w:rPr>
        <w:t>fas</w:t>
      </w:r>
      <w:r w:rsidR="001E529E">
        <w:rPr>
          <w:rFonts w:cs="Arial"/>
        </w:rPr>
        <w:t>s</w:t>
      </w:r>
      <w:r w:rsidR="00FB445C" w:rsidRPr="00D168C3">
        <w:rPr>
          <w:rFonts w:cs="Arial"/>
        </w:rPr>
        <w:t>t die Regelungen zum Erörterungstermin zusammen.</w:t>
      </w:r>
    </w:p>
    <w:p w14:paraId="1F6D7C20" w14:textId="77777777" w:rsidR="00422638" w:rsidRPr="00D168C3" w:rsidRDefault="00422638" w:rsidP="00AF188C">
      <w:pPr>
        <w:pStyle w:val="Listenabsatz"/>
        <w:jc w:val="both"/>
        <w:rPr>
          <w:rFonts w:cs="Arial"/>
        </w:rPr>
      </w:pPr>
    </w:p>
    <w:p w14:paraId="185855A1" w14:textId="3CE7B091" w:rsidR="00FB445C" w:rsidRPr="00D168C3" w:rsidRDefault="00FB445C" w:rsidP="00AF188C">
      <w:pPr>
        <w:pStyle w:val="Listenabsatz"/>
        <w:jc w:val="both"/>
        <w:rPr>
          <w:rFonts w:cs="Arial"/>
        </w:rPr>
      </w:pPr>
      <w:r w:rsidRPr="00D168C3">
        <w:rPr>
          <w:rFonts w:cs="Arial"/>
        </w:rPr>
        <w:t>Absatz 1</w:t>
      </w:r>
    </w:p>
    <w:p w14:paraId="0FD9C048" w14:textId="25306123" w:rsidR="00FB445C" w:rsidRPr="00D168C3" w:rsidRDefault="00FB445C" w:rsidP="00AF188C">
      <w:pPr>
        <w:pStyle w:val="Listenabsatz"/>
        <w:jc w:val="both"/>
        <w:rPr>
          <w:rFonts w:cs="Arial"/>
        </w:rPr>
      </w:pPr>
      <w:r w:rsidRPr="00D168C3">
        <w:rPr>
          <w:rFonts w:cs="Arial"/>
        </w:rPr>
        <w:t>Die Durchführung eines Erörterungstermins ist nun neu in das Ermessen der Planfeststellungsbehörde gestellt, wobei das Gesetz vom Grundsatz ausgeht, dass der Erörterungstermin erforderlich sein muss. Dies ist der Fall, wenn durch die Erörterung eine weitere Aufklärung der Sach</w:t>
      </w:r>
      <w:r w:rsidR="00422638" w:rsidRPr="00D168C3">
        <w:rPr>
          <w:rFonts w:cs="Arial"/>
        </w:rPr>
        <w:t>-</w:t>
      </w:r>
      <w:r w:rsidRPr="00D168C3">
        <w:rPr>
          <w:rFonts w:cs="Arial"/>
        </w:rPr>
        <w:t xml:space="preserve"> und Rechtslage oder eine Befriedung zu erwarten ist.</w:t>
      </w:r>
    </w:p>
    <w:p w14:paraId="7A40DB77" w14:textId="77777777" w:rsidR="00422638" w:rsidRPr="00D168C3" w:rsidRDefault="00422638" w:rsidP="00AF188C">
      <w:pPr>
        <w:pStyle w:val="Listenabsatz"/>
        <w:jc w:val="both"/>
        <w:rPr>
          <w:rFonts w:cs="Arial"/>
        </w:rPr>
      </w:pPr>
    </w:p>
    <w:p w14:paraId="2FB245E0" w14:textId="1154B8C3" w:rsidR="00FB445C" w:rsidRPr="00D168C3" w:rsidRDefault="00FB445C" w:rsidP="00AF188C">
      <w:pPr>
        <w:pStyle w:val="Listenabsatz"/>
        <w:jc w:val="both"/>
        <w:rPr>
          <w:rFonts w:cs="Arial"/>
        </w:rPr>
      </w:pPr>
      <w:r w:rsidRPr="00D168C3">
        <w:rPr>
          <w:rFonts w:cs="Arial"/>
        </w:rPr>
        <w:t>Absatz 2</w:t>
      </w:r>
    </w:p>
    <w:p w14:paraId="652F734C" w14:textId="4C0B4DC3" w:rsidR="00FB445C" w:rsidRPr="00D168C3" w:rsidRDefault="00FB445C" w:rsidP="00AF188C">
      <w:pPr>
        <w:pStyle w:val="Listenabsatz"/>
        <w:jc w:val="both"/>
        <w:rPr>
          <w:rFonts w:cs="Arial"/>
        </w:rPr>
      </w:pPr>
      <w:r w:rsidRPr="00D168C3">
        <w:rPr>
          <w:rFonts w:cs="Arial"/>
        </w:rPr>
        <w:t>An der vorherigen Bekanntmachung des Erörterungstermins (Satz 1) hat sich nichts geändert. Diese erfolgt nun digital (§ 27a). Die individuelle Benachrichtigung über den Erörterungstermin entfällt.</w:t>
      </w:r>
    </w:p>
    <w:p w14:paraId="68B307B5" w14:textId="77777777" w:rsidR="00422638" w:rsidRPr="00D168C3" w:rsidRDefault="00422638" w:rsidP="00AF188C">
      <w:pPr>
        <w:pStyle w:val="Listenabsatz"/>
        <w:jc w:val="both"/>
        <w:rPr>
          <w:rFonts w:cs="Arial"/>
        </w:rPr>
      </w:pPr>
    </w:p>
    <w:p w14:paraId="68670B0A" w14:textId="373B8ABD" w:rsidR="00FB445C" w:rsidRPr="00D168C3" w:rsidRDefault="00FB445C" w:rsidP="00AF188C">
      <w:pPr>
        <w:pStyle w:val="Listenabsatz"/>
        <w:jc w:val="both"/>
        <w:rPr>
          <w:rFonts w:cs="Arial"/>
        </w:rPr>
      </w:pPr>
      <w:r w:rsidRPr="00D168C3">
        <w:rPr>
          <w:rFonts w:cs="Arial"/>
        </w:rPr>
        <w:t>Absatz 3</w:t>
      </w:r>
    </w:p>
    <w:p w14:paraId="541F7611" w14:textId="77777777" w:rsidR="00FB445C" w:rsidRPr="00D168C3" w:rsidRDefault="00FB445C" w:rsidP="00AF188C">
      <w:pPr>
        <w:pStyle w:val="Listenabsatz"/>
        <w:jc w:val="both"/>
        <w:rPr>
          <w:rFonts w:cs="Arial"/>
        </w:rPr>
      </w:pPr>
      <w:r w:rsidRPr="00D168C3">
        <w:rPr>
          <w:rFonts w:cs="Arial"/>
        </w:rPr>
        <w:t>Absatz 3 Satz 1 übernimmt die bisherige Regelung zum Inhalt des Erörterungstermins. Neu ist, dass die Planfeststellungsbehörde den Kreis der Teilnehmenden bestimmen kann, z.B. im Hinblick auf die Anzahl von Teilnehmenden, die sich im Wesentlichen einer vorformulierten Einwendung eines Dritten angeschlossen haben oder diese lediglich zu Eigen machen.</w:t>
      </w:r>
    </w:p>
    <w:p w14:paraId="61A74332" w14:textId="77777777" w:rsidR="00422638" w:rsidRPr="00D168C3" w:rsidRDefault="00422638" w:rsidP="00AF188C">
      <w:pPr>
        <w:pStyle w:val="Listenabsatz"/>
        <w:jc w:val="both"/>
        <w:rPr>
          <w:rFonts w:cs="Arial"/>
        </w:rPr>
      </w:pPr>
    </w:p>
    <w:p w14:paraId="5601588B" w14:textId="5C69CB40" w:rsidR="00FB445C" w:rsidRPr="00D168C3" w:rsidRDefault="00FB445C" w:rsidP="00AF188C">
      <w:pPr>
        <w:pStyle w:val="Listenabsatz"/>
        <w:jc w:val="both"/>
        <w:rPr>
          <w:rFonts w:cs="Arial"/>
        </w:rPr>
      </w:pPr>
      <w:r w:rsidRPr="00D168C3">
        <w:rPr>
          <w:rFonts w:cs="Arial"/>
        </w:rPr>
        <w:t>Absatz 4</w:t>
      </w:r>
    </w:p>
    <w:p w14:paraId="26633E0F" w14:textId="1A6D0431" w:rsidR="00FB445C" w:rsidRPr="00D168C3" w:rsidRDefault="00FB445C" w:rsidP="00AF188C">
      <w:pPr>
        <w:pStyle w:val="Listenabsatz"/>
        <w:jc w:val="both"/>
        <w:rPr>
          <w:rFonts w:cs="Arial"/>
        </w:rPr>
      </w:pPr>
      <w:r w:rsidRPr="00D168C3">
        <w:rPr>
          <w:rFonts w:cs="Arial"/>
        </w:rPr>
        <w:t>Im Gegensatz zu den anderen Verfahrensschritten geht das Gesetz davon aus, dass im Regelfall der Erörterungstermin wie bisher als Präsenztermin, in der Regel als Besprechungstermin in einer der betroffenen Gemeinden abgehalten wird. Dies entspricht dem Wunsch der Praxis, wonach bei der Vielzahl von Betroffenen, die bei größeren Vorhaben auch mehrere Hundert Personen umfassen kann, diese Form der Erörterung die zweckmäßigste ist.</w:t>
      </w:r>
      <w:r w:rsidR="00422638" w:rsidRPr="00D168C3">
        <w:rPr>
          <w:rFonts w:cs="Arial"/>
        </w:rPr>
        <w:t xml:space="preserve"> </w:t>
      </w:r>
      <w:r w:rsidRPr="00D168C3">
        <w:rPr>
          <w:rFonts w:cs="Arial"/>
        </w:rPr>
        <w:t>Gleichwohl kann die Erörterung ganz oder teilweise durch digitale Formate ersetzt werden. Auch hier besteht eine Wahlfreiheit der Planfeststellungsbehörde. Es können bspw. Video oder Telefonkonferenzen durchgeführt werden, hier allerdings abweichend von § 27c Absatz 1 Nummer 2 ohne die vorherige Einwilligung der zur Teilnahme Berechtigten. Auch kann auch auf die sog. Onlinekonsultation, wie sie § 27c VwVfG M-V beschreibt, zurückgegriffen werden.). Je nach Abschichtung der Besprechung können unterschiedliche Formate genutzt werden, auch digitale neben der klassischen Erörterung.</w:t>
      </w:r>
    </w:p>
    <w:p w14:paraId="4850873C" w14:textId="77777777" w:rsidR="00FB445C" w:rsidRPr="00D168C3" w:rsidRDefault="00FB445C" w:rsidP="00AF188C">
      <w:pPr>
        <w:pStyle w:val="Listenabsatz"/>
        <w:jc w:val="both"/>
        <w:rPr>
          <w:rFonts w:cs="Arial"/>
        </w:rPr>
      </w:pPr>
    </w:p>
    <w:p w14:paraId="5460F511" w14:textId="68C9CA0D" w:rsidR="00FB445C" w:rsidRPr="00D168C3" w:rsidRDefault="00FB445C" w:rsidP="00AF188C">
      <w:pPr>
        <w:pStyle w:val="Listenabsatz"/>
        <w:jc w:val="both"/>
        <w:rPr>
          <w:rFonts w:cs="Arial"/>
        </w:rPr>
      </w:pPr>
      <w:r w:rsidRPr="00D168C3">
        <w:rPr>
          <w:rFonts w:cs="Arial"/>
        </w:rPr>
        <w:t>Absatz 5</w:t>
      </w:r>
    </w:p>
    <w:p w14:paraId="2EB1E719" w14:textId="26A67913" w:rsidR="00FB445C" w:rsidRPr="00D168C3" w:rsidRDefault="00FB445C" w:rsidP="00AF188C">
      <w:pPr>
        <w:pStyle w:val="Listenabsatz"/>
        <w:jc w:val="both"/>
        <w:rPr>
          <w:rFonts w:cs="Arial"/>
        </w:rPr>
      </w:pPr>
      <w:r w:rsidRPr="00D168C3">
        <w:rPr>
          <w:rFonts w:cs="Arial"/>
        </w:rPr>
        <w:t>Wie bisher erklärt Absatz 5 bestimmte Vorschriften über die mündliche Verhandlung für anwendbar.</w:t>
      </w:r>
    </w:p>
    <w:p w14:paraId="58E55C12" w14:textId="7209F5C1" w:rsidR="00FB445C" w:rsidRPr="00D168C3" w:rsidRDefault="00FB445C" w:rsidP="00AF188C">
      <w:pPr>
        <w:pStyle w:val="Listenabsatz"/>
        <w:jc w:val="both"/>
        <w:rPr>
          <w:rFonts w:cs="Arial"/>
        </w:rPr>
      </w:pPr>
    </w:p>
    <w:p w14:paraId="3217B0BB" w14:textId="1C4F93A7" w:rsidR="00422638" w:rsidRPr="00D168C3" w:rsidRDefault="00144EBA" w:rsidP="00AF188C">
      <w:pPr>
        <w:pStyle w:val="Listenabsatz"/>
        <w:jc w:val="both"/>
        <w:rPr>
          <w:rFonts w:cs="Arial"/>
        </w:rPr>
      </w:pPr>
      <w:r w:rsidRPr="00D168C3">
        <w:rPr>
          <w:rFonts w:cs="Arial"/>
        </w:rPr>
        <w:t xml:space="preserve">Zu </w:t>
      </w:r>
      <w:r w:rsidR="00422638" w:rsidRPr="00D168C3">
        <w:rPr>
          <w:rFonts w:cs="Arial"/>
        </w:rPr>
        <w:t>§ 73c</w:t>
      </w:r>
    </w:p>
    <w:p w14:paraId="2C24DF1F" w14:textId="77777777" w:rsidR="00144EBA" w:rsidRPr="00D168C3" w:rsidRDefault="00144EBA" w:rsidP="00AF188C">
      <w:pPr>
        <w:pStyle w:val="Listenabsatz"/>
        <w:jc w:val="both"/>
        <w:rPr>
          <w:rFonts w:cs="Arial"/>
        </w:rPr>
      </w:pPr>
    </w:p>
    <w:p w14:paraId="0325D771" w14:textId="2F7A8877" w:rsidR="00FB445C" w:rsidRPr="00D168C3" w:rsidRDefault="00422638" w:rsidP="00AF188C">
      <w:pPr>
        <w:pStyle w:val="Listenabsatz"/>
        <w:jc w:val="both"/>
        <w:rPr>
          <w:rFonts w:cs="Arial"/>
        </w:rPr>
      </w:pPr>
      <w:r w:rsidRPr="00D168C3">
        <w:rPr>
          <w:rFonts w:cs="Arial"/>
        </w:rPr>
        <w:t>Der neue § 73c übernimmt die bisherige Regelung des § 73 Absatz 8 VwVfG M-V und passt sie lediglich an die Digitalisierung der Verfahrensschritte an. Dabei gilt für die im Einzelfall vorliegende Unzumutbarkeit der elektronischen Erhebung und die fehlende Möglichkeit einer elektronischen Benachrichtigung § 73 Absatz 2 Satz 2 entsprechend.</w:t>
      </w:r>
    </w:p>
    <w:p w14:paraId="0AD20D08" w14:textId="374AB08B" w:rsidR="00422638" w:rsidRPr="00D168C3" w:rsidRDefault="00422638" w:rsidP="00AF188C">
      <w:pPr>
        <w:pStyle w:val="Listenabsatz"/>
        <w:jc w:val="both"/>
        <w:rPr>
          <w:rFonts w:cs="Arial"/>
        </w:rPr>
      </w:pPr>
    </w:p>
    <w:p w14:paraId="476386A8" w14:textId="675EB9DA" w:rsidR="00422638" w:rsidRPr="00D168C3" w:rsidRDefault="00422638" w:rsidP="00AF188C">
      <w:pPr>
        <w:pStyle w:val="Listenabsatz"/>
        <w:jc w:val="both"/>
        <w:rPr>
          <w:rFonts w:cs="Arial"/>
        </w:rPr>
      </w:pPr>
      <w:r w:rsidRPr="00D168C3">
        <w:rPr>
          <w:rFonts w:cs="Arial"/>
        </w:rPr>
        <w:lastRenderedPageBreak/>
        <w:t xml:space="preserve">Zu </w:t>
      </w:r>
      <w:r w:rsidR="00CF7346" w:rsidRPr="00D168C3">
        <w:rPr>
          <w:rFonts w:cs="Arial"/>
        </w:rPr>
        <w:t xml:space="preserve">Nummer </w:t>
      </w:r>
      <w:r w:rsidRPr="00D168C3">
        <w:rPr>
          <w:rFonts w:cs="Arial"/>
        </w:rPr>
        <w:t>16:</w:t>
      </w:r>
    </w:p>
    <w:p w14:paraId="5FECE787" w14:textId="77777777" w:rsidR="00CF7346" w:rsidRPr="00D168C3" w:rsidRDefault="00CF7346" w:rsidP="00AF188C">
      <w:pPr>
        <w:pStyle w:val="Listenabsatz"/>
        <w:jc w:val="both"/>
        <w:rPr>
          <w:rFonts w:cs="Arial"/>
        </w:rPr>
      </w:pPr>
    </w:p>
    <w:p w14:paraId="204BDAF3" w14:textId="381E58BC" w:rsidR="00422638" w:rsidRPr="00D168C3" w:rsidRDefault="000F7FF2" w:rsidP="00AF188C">
      <w:pPr>
        <w:pStyle w:val="Listenabsatz"/>
        <w:jc w:val="both"/>
        <w:rPr>
          <w:rFonts w:cs="Arial"/>
        </w:rPr>
      </w:pPr>
      <w:r w:rsidRPr="00D168C3">
        <w:rPr>
          <w:rFonts w:cs="Arial"/>
        </w:rPr>
        <w:t xml:space="preserve">Zu </w:t>
      </w:r>
      <w:r w:rsidR="00422638" w:rsidRPr="00D168C3">
        <w:rPr>
          <w:rFonts w:cs="Arial"/>
        </w:rPr>
        <w:t>§ 74</w:t>
      </w:r>
    </w:p>
    <w:p w14:paraId="734C4984" w14:textId="77777777" w:rsidR="00CF7346" w:rsidRPr="00D168C3" w:rsidRDefault="00CF7346" w:rsidP="00AF188C">
      <w:pPr>
        <w:pStyle w:val="Listenabsatz"/>
        <w:jc w:val="both"/>
        <w:rPr>
          <w:rFonts w:cs="Arial"/>
        </w:rPr>
      </w:pPr>
    </w:p>
    <w:p w14:paraId="4292B25F" w14:textId="77777777" w:rsidR="00422638" w:rsidRPr="00D168C3" w:rsidRDefault="00422638" w:rsidP="00AF188C">
      <w:pPr>
        <w:pStyle w:val="Listenabsatz"/>
        <w:jc w:val="both"/>
        <w:rPr>
          <w:rFonts w:cs="Arial"/>
        </w:rPr>
      </w:pPr>
      <w:r w:rsidRPr="00D168C3">
        <w:rPr>
          <w:rFonts w:cs="Arial"/>
        </w:rPr>
        <w:t>In § 74 VwVfG M-V werden die Absätze 1 bis 3 unverändert übernommen und die Absätze 4 bis 6 angepasst.</w:t>
      </w:r>
    </w:p>
    <w:p w14:paraId="36DDAA65" w14:textId="77777777" w:rsidR="00422638" w:rsidRPr="00D168C3" w:rsidRDefault="00422638" w:rsidP="00AF188C">
      <w:pPr>
        <w:pStyle w:val="Listenabsatz"/>
        <w:jc w:val="both"/>
        <w:rPr>
          <w:rFonts w:cs="Arial"/>
        </w:rPr>
      </w:pPr>
    </w:p>
    <w:p w14:paraId="10D1BD22" w14:textId="02AC1C58" w:rsidR="00422638" w:rsidRPr="00D168C3" w:rsidRDefault="00422638" w:rsidP="00AF188C">
      <w:pPr>
        <w:pStyle w:val="Listenabsatz"/>
        <w:jc w:val="both"/>
        <w:rPr>
          <w:rFonts w:cs="Arial"/>
        </w:rPr>
      </w:pPr>
      <w:r w:rsidRPr="00D168C3">
        <w:rPr>
          <w:rFonts w:cs="Arial"/>
        </w:rPr>
        <w:t>Absatz 1 bis 3</w:t>
      </w:r>
    </w:p>
    <w:p w14:paraId="595173ED" w14:textId="77777777" w:rsidR="00422638" w:rsidRPr="00D168C3" w:rsidRDefault="00422638" w:rsidP="00AF188C">
      <w:pPr>
        <w:pStyle w:val="Listenabsatz"/>
        <w:jc w:val="both"/>
        <w:rPr>
          <w:rFonts w:cs="Arial"/>
        </w:rPr>
      </w:pPr>
      <w:r w:rsidRPr="00D168C3">
        <w:rPr>
          <w:rFonts w:cs="Arial"/>
        </w:rPr>
        <w:t>Diese werden unverändert übernommen. In Absatz 2 werden lediglich klarstellend auch die Stellungnahmen klagebefugter Vereinigungen aufgenommen.</w:t>
      </w:r>
    </w:p>
    <w:p w14:paraId="724C767F" w14:textId="77777777" w:rsidR="00422638" w:rsidRPr="00D168C3" w:rsidRDefault="00422638" w:rsidP="00AF188C">
      <w:pPr>
        <w:pStyle w:val="Listenabsatz"/>
        <w:jc w:val="both"/>
        <w:rPr>
          <w:rFonts w:cs="Arial"/>
        </w:rPr>
      </w:pPr>
    </w:p>
    <w:p w14:paraId="24D93C3E" w14:textId="5A7269AA" w:rsidR="00422638" w:rsidRPr="00D168C3" w:rsidRDefault="00422638" w:rsidP="00AF188C">
      <w:pPr>
        <w:pStyle w:val="Listenabsatz"/>
        <w:jc w:val="both"/>
        <w:rPr>
          <w:rFonts w:cs="Arial"/>
        </w:rPr>
      </w:pPr>
      <w:r w:rsidRPr="00D168C3">
        <w:rPr>
          <w:rFonts w:cs="Arial"/>
        </w:rPr>
        <w:t>Absatz 4</w:t>
      </w:r>
    </w:p>
    <w:p w14:paraId="2C8B55B4" w14:textId="7A6ADADF" w:rsidR="00422638" w:rsidRPr="00D168C3" w:rsidRDefault="00422638" w:rsidP="00AF188C">
      <w:pPr>
        <w:pStyle w:val="Listenabsatz"/>
        <w:jc w:val="both"/>
        <w:rPr>
          <w:rFonts w:cs="Arial"/>
        </w:rPr>
      </w:pPr>
      <w:r w:rsidRPr="00D168C3">
        <w:rPr>
          <w:rFonts w:cs="Arial"/>
        </w:rPr>
        <w:t>Die Änderungen übernehmen die Wertungen des § 73 Absatz 1 und 3 VwVfG M-V und übertragen sie auf die Verfahrensschritte nach Erlass des Planfeststellungsbeschlusses. Der Planfeststellungsbeschluss wird mit einer Rechtsbehelfsbelehrung und dem festgestellten Plan im Internet zur Einsicht ausgelegt. Die Auslegungsfrist hat sich nicht geändert. Mit dem Ende der Auslegungsfrist gilt der Beschluss gegenüber dem Träger des Vorhabens, den Betroffenen, den Vereinigungen nach § 73 Absatz 2 Satz 1 Nummer 2 und denjenigen gegenüber, die Einwendungen erhoben oder Stellungnahmen abgegeben haben, als zugestellt; darauf ist in der öffentlichen Bekanntmachung hinzuweisen (vgl. Absatz 5 Nummer 2). Der Planfeststellungsbeschluss kann dem Träger des Vorhabens, denjenigen, über deren Einwendungen entschieden worden ist, und den Vereinigungen, über deren Stellungnahmen entschieden worden ist, auch zugestellt werden. In diesem Fall gelten für den Zeitpunkt der Zustellung die speziellen Regelungen für die analog oder digitale Zustellung.</w:t>
      </w:r>
    </w:p>
    <w:p w14:paraId="3130EB5B" w14:textId="77777777" w:rsidR="00422638" w:rsidRPr="00D168C3" w:rsidRDefault="00422638" w:rsidP="00AF188C">
      <w:pPr>
        <w:pStyle w:val="Listenabsatz"/>
        <w:jc w:val="both"/>
        <w:rPr>
          <w:rFonts w:cs="Arial"/>
        </w:rPr>
      </w:pPr>
    </w:p>
    <w:p w14:paraId="7B927917" w14:textId="784604BE" w:rsidR="00422638" w:rsidRPr="00D168C3" w:rsidRDefault="00422638" w:rsidP="00AF188C">
      <w:pPr>
        <w:pStyle w:val="Listenabsatz"/>
        <w:jc w:val="both"/>
        <w:rPr>
          <w:rFonts w:cs="Arial"/>
        </w:rPr>
      </w:pPr>
      <w:r w:rsidRPr="00D168C3">
        <w:rPr>
          <w:rFonts w:cs="Arial"/>
        </w:rPr>
        <w:t>Absatz 5</w:t>
      </w:r>
    </w:p>
    <w:p w14:paraId="3D3C5341" w14:textId="77777777" w:rsidR="00422638" w:rsidRPr="00D168C3" w:rsidRDefault="00422638" w:rsidP="00AF188C">
      <w:pPr>
        <w:pStyle w:val="Listenabsatz"/>
        <w:jc w:val="both"/>
        <w:rPr>
          <w:rFonts w:cs="Arial"/>
        </w:rPr>
      </w:pPr>
      <w:r w:rsidRPr="00D168C3">
        <w:rPr>
          <w:rFonts w:cs="Arial"/>
        </w:rPr>
        <w:t>Wie bisher auch, wird die Auslegung des Planfeststellungsbeschlusses vorab öffentlich bekanntgemacht (Satz 1). § 27b Absatz 2 VwVfG M-V regelt den Inhalt der Bekanntmachung. Satz 2 regelt den zusätzlichen Inhalt. Auch hier wird klarstellend der Hinweis aufgenommen, dass die Zustellungsfiktion gegenüber allen Betroffenen und Vereinigungen eintritt, unabhängig davon, ob sie der Planfeststellungsbehörde bekannt waren oder nicht, sowie gegenüber allen, die im Verfahren Einwendungen erhoben bzw. Stellungnahmen abgegeben haben.</w:t>
      </w:r>
    </w:p>
    <w:p w14:paraId="4E52ADAB" w14:textId="77777777" w:rsidR="00422638" w:rsidRPr="00D168C3" w:rsidRDefault="00422638" w:rsidP="00AF188C">
      <w:pPr>
        <w:pStyle w:val="Listenabsatz"/>
        <w:jc w:val="both"/>
        <w:rPr>
          <w:rFonts w:cs="Arial"/>
        </w:rPr>
      </w:pPr>
    </w:p>
    <w:p w14:paraId="54DD56C8" w14:textId="3CC1BF20" w:rsidR="00422638" w:rsidRPr="00D168C3" w:rsidRDefault="00422638" w:rsidP="00AF188C">
      <w:pPr>
        <w:pStyle w:val="Listenabsatz"/>
        <w:jc w:val="both"/>
        <w:rPr>
          <w:rFonts w:cs="Arial"/>
        </w:rPr>
      </w:pPr>
      <w:r w:rsidRPr="00D168C3">
        <w:rPr>
          <w:rFonts w:cs="Arial"/>
        </w:rPr>
        <w:t>Absatz 6</w:t>
      </w:r>
    </w:p>
    <w:p w14:paraId="2802EAA4" w14:textId="6FCE09E3" w:rsidR="00FB445C" w:rsidRPr="00D168C3" w:rsidRDefault="00422638" w:rsidP="00AF188C">
      <w:pPr>
        <w:pStyle w:val="Listenabsatz"/>
        <w:jc w:val="both"/>
        <w:rPr>
          <w:rFonts w:cs="Arial"/>
        </w:rPr>
      </w:pPr>
      <w:r w:rsidRPr="00D168C3">
        <w:rPr>
          <w:rFonts w:cs="Arial"/>
        </w:rPr>
        <w:t>Die Planfeststellungsbehörde soll die Unterlagen nach Absatz 4 Satz 1 nach Ende der Auslegungsfrist mindestens bis zum Ende der Rechtsbehelfsfrist zur Information im Internet veröffentlichen.</w:t>
      </w:r>
    </w:p>
    <w:p w14:paraId="4E5E2C72" w14:textId="150D5921" w:rsidR="00422638" w:rsidRPr="00D168C3" w:rsidRDefault="00422638" w:rsidP="00AF188C">
      <w:pPr>
        <w:pStyle w:val="Listenabsatz"/>
        <w:jc w:val="both"/>
        <w:rPr>
          <w:rFonts w:cs="Arial"/>
        </w:rPr>
      </w:pPr>
    </w:p>
    <w:p w14:paraId="3C20F957" w14:textId="7F3EEB1A" w:rsidR="00422638" w:rsidRPr="00D168C3" w:rsidRDefault="000F7FF2" w:rsidP="00AF188C">
      <w:pPr>
        <w:pStyle w:val="Listenabsatz"/>
        <w:jc w:val="both"/>
        <w:rPr>
          <w:rFonts w:cs="Arial"/>
        </w:rPr>
      </w:pPr>
      <w:r w:rsidRPr="00D168C3">
        <w:rPr>
          <w:rFonts w:cs="Arial"/>
        </w:rPr>
        <w:t xml:space="preserve">Zu </w:t>
      </w:r>
      <w:r w:rsidR="00422638" w:rsidRPr="00D168C3">
        <w:rPr>
          <w:rFonts w:cs="Arial"/>
        </w:rPr>
        <w:t>§ 74a</w:t>
      </w:r>
    </w:p>
    <w:p w14:paraId="10A0BB25" w14:textId="77777777" w:rsidR="00CF7346" w:rsidRPr="00D168C3" w:rsidRDefault="00CF7346" w:rsidP="00AF188C">
      <w:pPr>
        <w:pStyle w:val="Listenabsatz"/>
        <w:jc w:val="both"/>
        <w:rPr>
          <w:rFonts w:cs="Arial"/>
        </w:rPr>
      </w:pPr>
    </w:p>
    <w:p w14:paraId="71893AD0" w14:textId="3858DAA2" w:rsidR="00422638" w:rsidRPr="00D168C3" w:rsidRDefault="00A77BCC" w:rsidP="00AF188C">
      <w:pPr>
        <w:pStyle w:val="Listenabsatz"/>
        <w:jc w:val="both"/>
        <w:rPr>
          <w:rFonts w:cs="Arial"/>
        </w:rPr>
      </w:pPr>
      <w:r w:rsidRPr="00D168C3">
        <w:rPr>
          <w:rFonts w:cs="Arial"/>
        </w:rPr>
        <w:t>Der neue § 74</w:t>
      </w:r>
      <w:r w:rsidR="00144EBA" w:rsidRPr="00D168C3">
        <w:rPr>
          <w:rFonts w:cs="Arial"/>
        </w:rPr>
        <w:t xml:space="preserve"> </w:t>
      </w:r>
      <w:r w:rsidRPr="00D168C3">
        <w:rPr>
          <w:rFonts w:cs="Arial"/>
        </w:rPr>
        <w:t xml:space="preserve">a übernimmt die bestehenden Regelungen in § 74 Absatz 6. Dieser regelt, wann eine Plangenehmigung erteilt werden kann (Absatz 1) an und beschreibt, soweit notwendig, die digitalen Verfahrensschritte (Absatz 2 Satz 3). Abweichend von der bisherigen Rechtslage kann für ein Vorhaben, für das nach dem Gesetz über die Umweltverträglichkeitsprüfung eine Umweltverträglichkeitsprüfung durchzuführen ist, anstelle eines Planfeststellungsbeschlusses eine Plangenehmigung erteilt werden (Absatz 4). Dies ist eine Ausnahme zu § 74a Absatz 1 Nummer 3. Dies übernimmt eine in verschiedenen Fachgesetzen (z. B. § 17b Absatz 2 FStrG) bestehende Regelung als allgemeine Regelung in das VwVfG. Durch den Verweis auf die § </w:t>
      </w:r>
      <w:r w:rsidRPr="00D168C3">
        <w:rPr>
          <w:rFonts w:cs="Arial"/>
        </w:rPr>
        <w:lastRenderedPageBreak/>
        <w:t>73 VwVfG M-V ist sichergestellt, dass die bei UVP-pflichtigen Vorhaben notwendigen Verfahrensschritte (beispielsweise Bereitstellung von Informationen, Möglichkeit zur Stellungnahme für die betroffene Öffentlichkeit) auch im Rahmen eines Plangenehmigungsverfahrens durchgeführt werden.</w:t>
      </w:r>
    </w:p>
    <w:p w14:paraId="43C83C5D" w14:textId="73C08882" w:rsidR="000F7FF2" w:rsidRPr="00D168C3" w:rsidRDefault="000F7FF2" w:rsidP="00AF188C">
      <w:pPr>
        <w:pStyle w:val="Listenabsatz"/>
        <w:jc w:val="both"/>
        <w:rPr>
          <w:rFonts w:cs="Arial"/>
        </w:rPr>
      </w:pPr>
    </w:p>
    <w:p w14:paraId="4CAC8DB4" w14:textId="2BCE373D" w:rsidR="000F7FF2" w:rsidRPr="00D168C3" w:rsidRDefault="000F7FF2" w:rsidP="00AF188C">
      <w:pPr>
        <w:pStyle w:val="Listenabsatz"/>
        <w:jc w:val="both"/>
        <w:rPr>
          <w:rFonts w:cs="Arial"/>
        </w:rPr>
      </w:pPr>
      <w:r w:rsidRPr="00D168C3">
        <w:rPr>
          <w:rFonts w:cs="Arial"/>
        </w:rPr>
        <w:t>Zu § 74b</w:t>
      </w:r>
    </w:p>
    <w:p w14:paraId="709B8795" w14:textId="77777777" w:rsidR="000F7FF2" w:rsidRPr="00D168C3" w:rsidRDefault="000F7FF2" w:rsidP="00AF188C">
      <w:pPr>
        <w:pStyle w:val="Listenabsatz"/>
        <w:jc w:val="both"/>
        <w:rPr>
          <w:rFonts w:cs="Arial"/>
        </w:rPr>
      </w:pPr>
    </w:p>
    <w:p w14:paraId="3C41E36E" w14:textId="19AD4988" w:rsidR="000F7FF2" w:rsidRPr="00D168C3" w:rsidRDefault="000F7FF2" w:rsidP="00AF188C">
      <w:pPr>
        <w:pStyle w:val="Listenabsatz"/>
        <w:jc w:val="both"/>
        <w:rPr>
          <w:rFonts w:cs="Arial"/>
        </w:rPr>
      </w:pPr>
      <w:r w:rsidRPr="00D168C3">
        <w:rPr>
          <w:rFonts w:cs="Arial"/>
        </w:rPr>
        <w:t>Die Regelung übernimmt die bestehenden Regelungen in § 74 Absatz 7 VwVfG M-V und überführt sie der Übersichtlichkeit halber in eine eigenständige Norm in Form des neuen § 74b.</w:t>
      </w:r>
    </w:p>
    <w:p w14:paraId="23EB4D9E" w14:textId="77777777" w:rsidR="00422638" w:rsidRPr="00D168C3" w:rsidRDefault="00422638" w:rsidP="00AF188C">
      <w:pPr>
        <w:pStyle w:val="Listenabsatz"/>
        <w:jc w:val="both"/>
        <w:rPr>
          <w:rFonts w:cs="Arial"/>
        </w:rPr>
      </w:pPr>
    </w:p>
    <w:p w14:paraId="6D6E9D1E" w14:textId="10827597" w:rsidR="000F7FF2" w:rsidRPr="00D168C3" w:rsidRDefault="00422638" w:rsidP="00AF188C">
      <w:pPr>
        <w:pStyle w:val="Listenabsatz"/>
        <w:jc w:val="both"/>
        <w:rPr>
          <w:rFonts w:cs="Arial"/>
        </w:rPr>
      </w:pPr>
      <w:r w:rsidRPr="00D168C3">
        <w:rPr>
          <w:rFonts w:cs="Arial"/>
        </w:rPr>
        <w:t xml:space="preserve">Zu </w:t>
      </w:r>
      <w:r w:rsidR="00CF7346" w:rsidRPr="00D168C3">
        <w:rPr>
          <w:rFonts w:cs="Arial"/>
        </w:rPr>
        <w:t xml:space="preserve">Nummer </w:t>
      </w:r>
      <w:r w:rsidRPr="00D168C3">
        <w:rPr>
          <w:rFonts w:cs="Arial"/>
        </w:rPr>
        <w:t>17:</w:t>
      </w:r>
    </w:p>
    <w:p w14:paraId="77E5CB36" w14:textId="45B1E102" w:rsidR="000F7FF2" w:rsidRPr="00D168C3" w:rsidRDefault="000F7FF2" w:rsidP="00AF188C">
      <w:pPr>
        <w:pStyle w:val="Listenabsatz"/>
        <w:jc w:val="both"/>
        <w:rPr>
          <w:rFonts w:cs="Arial"/>
        </w:rPr>
      </w:pPr>
    </w:p>
    <w:p w14:paraId="5411F672" w14:textId="150EA26F" w:rsidR="000F7FF2" w:rsidRPr="00D168C3" w:rsidRDefault="000F7FF2" w:rsidP="00AF188C">
      <w:pPr>
        <w:pStyle w:val="Listenabsatz"/>
        <w:jc w:val="both"/>
        <w:rPr>
          <w:rFonts w:cs="Arial"/>
        </w:rPr>
      </w:pPr>
      <w:r w:rsidRPr="00D168C3">
        <w:rPr>
          <w:rFonts w:cs="Arial"/>
        </w:rPr>
        <w:t xml:space="preserve">Zu § 75 </w:t>
      </w:r>
    </w:p>
    <w:p w14:paraId="6D7A40CE" w14:textId="77777777" w:rsidR="000F7FF2" w:rsidRPr="00D168C3" w:rsidRDefault="000F7FF2" w:rsidP="00AF188C">
      <w:pPr>
        <w:pStyle w:val="Listenabsatz"/>
        <w:jc w:val="both"/>
        <w:rPr>
          <w:rFonts w:cs="Arial"/>
        </w:rPr>
      </w:pPr>
    </w:p>
    <w:p w14:paraId="32CE6C69" w14:textId="478E74B2" w:rsidR="000F7FF2" w:rsidRPr="00D168C3" w:rsidRDefault="000F7FF2" w:rsidP="00AF188C">
      <w:pPr>
        <w:pStyle w:val="Listenabsatz"/>
        <w:jc w:val="both"/>
        <w:rPr>
          <w:rFonts w:cs="Arial"/>
        </w:rPr>
      </w:pPr>
      <w:r w:rsidRPr="00D168C3">
        <w:rPr>
          <w:rFonts w:cs="Arial"/>
        </w:rPr>
        <w:t>Die Absätze 1 bis 2 enthalten keine Änderungen. Lediglich die Nummerierung der Absätze wurde angepasst. Absatz 3 übernimmt entsprechende fachgesetzliche Regelungen (z.B. § 17c FStrG) als allgemeine Regelung in das VwVfG M-V.</w:t>
      </w:r>
    </w:p>
    <w:p w14:paraId="3F1FA09D" w14:textId="3B61799B" w:rsidR="000F7FF2" w:rsidRPr="00D168C3" w:rsidRDefault="000F7FF2" w:rsidP="00AF188C">
      <w:pPr>
        <w:pStyle w:val="Listenabsatz"/>
        <w:jc w:val="both"/>
        <w:rPr>
          <w:rFonts w:cs="Arial"/>
        </w:rPr>
      </w:pPr>
    </w:p>
    <w:p w14:paraId="7AC56A74" w14:textId="1BE59761" w:rsidR="000F7FF2" w:rsidRPr="00D168C3" w:rsidRDefault="000F7FF2" w:rsidP="00AF188C">
      <w:pPr>
        <w:pStyle w:val="Listenabsatz"/>
        <w:jc w:val="both"/>
        <w:rPr>
          <w:rFonts w:cs="Arial"/>
        </w:rPr>
      </w:pPr>
      <w:r w:rsidRPr="00D168C3">
        <w:rPr>
          <w:rFonts w:cs="Arial"/>
        </w:rPr>
        <w:t>Absatz 4, 5</w:t>
      </w:r>
    </w:p>
    <w:p w14:paraId="25830F98" w14:textId="06151FCB" w:rsidR="000F7FF2" w:rsidRPr="00D168C3" w:rsidRDefault="000F7FF2" w:rsidP="00AF188C">
      <w:pPr>
        <w:pStyle w:val="Listenabsatz"/>
        <w:jc w:val="both"/>
        <w:rPr>
          <w:rFonts w:cs="Arial"/>
        </w:rPr>
      </w:pPr>
      <w:r w:rsidRPr="00D168C3">
        <w:rPr>
          <w:rFonts w:cs="Arial"/>
        </w:rPr>
        <w:t>Die Absätze 4 bis 5 übernehmen die bisherigen Regelungen aus § 75 Absatz 2 und Absatz 3, ohne sie inhaltlich zu ändern.</w:t>
      </w:r>
    </w:p>
    <w:p w14:paraId="73715315" w14:textId="5D8D5080" w:rsidR="000F7FF2" w:rsidRPr="00D168C3" w:rsidRDefault="000F7FF2" w:rsidP="00AF188C">
      <w:pPr>
        <w:pStyle w:val="Listenabsatz"/>
        <w:jc w:val="both"/>
        <w:rPr>
          <w:rFonts w:cs="Arial"/>
        </w:rPr>
      </w:pPr>
    </w:p>
    <w:p w14:paraId="115632B8" w14:textId="3B775D3F" w:rsidR="000F7FF2" w:rsidRPr="00D168C3" w:rsidRDefault="000F7FF2" w:rsidP="00AF188C">
      <w:pPr>
        <w:pStyle w:val="Listenabsatz"/>
        <w:jc w:val="both"/>
        <w:rPr>
          <w:rFonts w:cs="Arial"/>
        </w:rPr>
      </w:pPr>
      <w:r w:rsidRPr="00D168C3">
        <w:rPr>
          <w:rFonts w:cs="Arial"/>
        </w:rPr>
        <w:t>Zu § 75a</w:t>
      </w:r>
    </w:p>
    <w:p w14:paraId="6D4103B0" w14:textId="77777777" w:rsidR="000F7FF2" w:rsidRPr="00D168C3" w:rsidRDefault="000F7FF2" w:rsidP="00AF188C">
      <w:pPr>
        <w:pStyle w:val="Listenabsatz"/>
        <w:jc w:val="both"/>
        <w:rPr>
          <w:rFonts w:cs="Arial"/>
        </w:rPr>
      </w:pPr>
    </w:p>
    <w:p w14:paraId="781D162F" w14:textId="723773EA" w:rsidR="000F7FF2" w:rsidRPr="00D168C3" w:rsidRDefault="000F7FF2" w:rsidP="00AF188C">
      <w:pPr>
        <w:pStyle w:val="Listenabsatz"/>
        <w:jc w:val="both"/>
        <w:rPr>
          <w:rFonts w:cs="Arial"/>
        </w:rPr>
      </w:pPr>
      <w:r w:rsidRPr="00D168C3">
        <w:rPr>
          <w:rFonts w:cs="Arial"/>
        </w:rPr>
        <w:t>Die bislang in § 75 Absatz 4 VwVfG M-V enthaltenen speziellen Regelungen zum Außerkrafttreten eines Planfeststellungsbeschlusses wird nun neu in § 75a geregelt. In verschiedenen Fachgesetzen finden sich hierzu bislang Sonderregelungen, die nun als allgemeine Regelungen in das VwVfG überführt werden. Neu in Absatz 1 Satz 1 ist, dass mit der Durchführung des Plans innerhalb von zehn Jahren nach Eintritt der Unanfechtbarkeit begonnen werden muss, damit er nicht automatisch außer Kraft tritt. Zudem besteht die Möglichkeit, auf Antrag des Trägers des Vorhabens gegenüber der Planfeststellungsbehörde, die Gültigkeit des Planfeststellungsbeschlusses um höchstens fünf Jahre zu verlängern (Absatz 1 Satz 2). Vor der Verlängerungsentscheidung ist eine auf den Antrag begrenzte Anhörung nach dem für die Planfeststellung oder für die Plangenehmigung vorgeschriebenen Verfahren durchzuführen (Absatz 3). Absatz 2 regelt, wie bisher auch, was als Beginn der Durchführung des Plans zu werten ist.</w:t>
      </w:r>
    </w:p>
    <w:p w14:paraId="5466D74F" w14:textId="085EE2EB" w:rsidR="000F7FF2" w:rsidRPr="00D168C3" w:rsidRDefault="000F7FF2" w:rsidP="00AF188C">
      <w:pPr>
        <w:pStyle w:val="Listenabsatz"/>
        <w:jc w:val="both"/>
        <w:rPr>
          <w:rFonts w:cs="Arial"/>
        </w:rPr>
      </w:pPr>
    </w:p>
    <w:p w14:paraId="3B341675" w14:textId="1EEDD160" w:rsidR="000F7FF2" w:rsidRPr="00D168C3" w:rsidRDefault="000F7FF2" w:rsidP="00AF188C">
      <w:pPr>
        <w:pStyle w:val="Listenabsatz"/>
        <w:jc w:val="both"/>
        <w:rPr>
          <w:rFonts w:cs="Arial"/>
        </w:rPr>
      </w:pPr>
      <w:r w:rsidRPr="00D168C3">
        <w:rPr>
          <w:rFonts w:cs="Arial"/>
        </w:rPr>
        <w:t>Zu Nummer 18:</w:t>
      </w:r>
    </w:p>
    <w:p w14:paraId="2318F4A3" w14:textId="16780611" w:rsidR="009052C5" w:rsidRPr="00D168C3" w:rsidRDefault="00AF494E" w:rsidP="00AF188C">
      <w:pPr>
        <w:pStyle w:val="Listenabsatz"/>
        <w:jc w:val="both"/>
        <w:rPr>
          <w:rFonts w:cs="Arial"/>
        </w:rPr>
      </w:pPr>
      <w:r w:rsidRPr="00D168C3">
        <w:rPr>
          <w:rFonts w:cs="Arial"/>
          <w:highlight w:val="yellow"/>
        </w:rPr>
        <w:t xml:space="preserve">Platzhalter: </w:t>
      </w:r>
      <w:r w:rsidRPr="00847AB7">
        <w:rPr>
          <w:rFonts w:cs="Arial"/>
        </w:rPr>
        <w:t>Formulierung wird mit Bund und Ländern abgestimmt.</w:t>
      </w:r>
      <w:r w:rsidR="001E6FC6" w:rsidRPr="00847AB7">
        <w:rPr>
          <w:rFonts w:cs="Arial"/>
        </w:rPr>
        <w:t xml:space="preserve"> Kohärente</w:t>
      </w:r>
      <w:r w:rsidR="001E6FC6" w:rsidRPr="00D168C3">
        <w:rPr>
          <w:rFonts w:cs="Arial"/>
        </w:rPr>
        <w:t xml:space="preserve"> Ausgestaltung von Bekanntgabe und Zustellung soll erfolgen.</w:t>
      </w:r>
    </w:p>
    <w:p w14:paraId="055BB5F8" w14:textId="77777777" w:rsidR="00AF494E" w:rsidRPr="00D168C3" w:rsidRDefault="00AF494E" w:rsidP="00AF188C">
      <w:pPr>
        <w:pStyle w:val="Listenabsatz"/>
        <w:jc w:val="both"/>
        <w:rPr>
          <w:rFonts w:cs="Arial"/>
        </w:rPr>
      </w:pPr>
    </w:p>
    <w:p w14:paraId="04D4214D" w14:textId="032A29B8" w:rsidR="009052C5" w:rsidRPr="00D168C3" w:rsidRDefault="009052C5" w:rsidP="00AF188C">
      <w:pPr>
        <w:pStyle w:val="Listenabsatz"/>
        <w:jc w:val="both"/>
        <w:rPr>
          <w:rFonts w:cs="Arial"/>
        </w:rPr>
      </w:pPr>
      <w:r w:rsidRPr="00D168C3">
        <w:rPr>
          <w:rFonts w:cs="Arial"/>
        </w:rPr>
        <w:t>Zu Nummer 19:</w:t>
      </w:r>
    </w:p>
    <w:p w14:paraId="13A9F75F" w14:textId="4A866AF1" w:rsidR="009052C5" w:rsidRPr="00D168C3" w:rsidRDefault="009052C5" w:rsidP="00AF188C">
      <w:pPr>
        <w:pStyle w:val="Listenabsatz"/>
        <w:jc w:val="both"/>
        <w:rPr>
          <w:rFonts w:cs="Arial"/>
        </w:rPr>
      </w:pPr>
      <w:r w:rsidRPr="00D168C3">
        <w:rPr>
          <w:rFonts w:cs="Arial"/>
        </w:rPr>
        <w:t xml:space="preserve">Die Regelung enthält eine Übergangsregelung für Planfeststellungs- und Plangenehmigungsverfahren, die vor </w:t>
      </w:r>
      <w:r w:rsidRPr="00D168C3">
        <w:rPr>
          <w:rFonts w:cs="Arial"/>
          <w:highlight w:val="yellow"/>
        </w:rPr>
        <w:t>Inkrafttreten des Artikels 11 [Änderungen des Verwaltungsverfahrensgesetzes]</w:t>
      </w:r>
      <w:r w:rsidRPr="00D168C3">
        <w:rPr>
          <w:rFonts w:cs="Arial"/>
        </w:rPr>
        <w:t xml:space="preserve"> nach diesem Gesetz bereits eingeleitet wurden oder bis zum 31.12.2028 eingeleitet werden, mit der geregelt wird, ob und inwieweit analoge Verfahrensregelungen noch angewendet werden können. Erfasst werden sollen damit die Fälle, in denen Anhörungs- und Planfeststellungsbehörden nicht kurzfristig die notwendige </w:t>
      </w:r>
      <w:r w:rsidRPr="00D168C3">
        <w:rPr>
          <w:rFonts w:cs="Arial"/>
        </w:rPr>
        <w:lastRenderedPageBreak/>
        <w:t>digitale Infrastruktur aufbauen können, um die Verfahrensschritte digital durchführen zu können.</w:t>
      </w:r>
    </w:p>
    <w:p w14:paraId="70C80DE7" w14:textId="044AE0BB" w:rsidR="001E6FC6" w:rsidRPr="00D168C3" w:rsidRDefault="001E6FC6" w:rsidP="00AF188C">
      <w:pPr>
        <w:pStyle w:val="Listenabsatz"/>
        <w:jc w:val="both"/>
        <w:rPr>
          <w:rFonts w:cs="Arial"/>
        </w:rPr>
      </w:pPr>
    </w:p>
    <w:p w14:paraId="4D4AC300" w14:textId="77777777" w:rsidR="001E6FC6" w:rsidRPr="00D168C3" w:rsidRDefault="001E6FC6" w:rsidP="001E6FC6">
      <w:pPr>
        <w:pStyle w:val="Listenabsatz"/>
        <w:jc w:val="both"/>
        <w:rPr>
          <w:rFonts w:cs="Arial"/>
        </w:rPr>
      </w:pPr>
      <w:r w:rsidRPr="00D168C3">
        <w:rPr>
          <w:rFonts w:cs="Arial"/>
        </w:rPr>
        <w:t>Zu Nummer 20:</w:t>
      </w:r>
    </w:p>
    <w:p w14:paraId="4827C66B" w14:textId="6B425E92" w:rsidR="001E6FC6" w:rsidRPr="00D168C3" w:rsidRDefault="001E6FC6" w:rsidP="001E6FC6">
      <w:pPr>
        <w:pStyle w:val="Listenabsatz"/>
        <w:jc w:val="both"/>
        <w:rPr>
          <w:rFonts w:cs="Arial"/>
        </w:rPr>
      </w:pPr>
      <w:r w:rsidRPr="00D168C3">
        <w:rPr>
          <w:rFonts w:cs="Arial"/>
          <w:highlight w:val="yellow"/>
        </w:rPr>
        <w:t xml:space="preserve">Platzhalter: </w:t>
      </w:r>
      <w:r w:rsidRPr="00847AB7">
        <w:rPr>
          <w:rFonts w:cs="Arial"/>
        </w:rPr>
        <w:t>Formulierung wird mit Bund und Ländern abgestimmt. Kohärente Ausgestaltung von Bekanntgabe und Zustellung soll erfolgen. In Erlaubnis- und Genehmigungsverfahren</w:t>
      </w:r>
      <w:r w:rsidRPr="00D168C3">
        <w:rPr>
          <w:rFonts w:cs="Arial"/>
        </w:rPr>
        <w:t>, in denen ein Dritter Einwendungen erhebt, wird ermöglicht, die Prüfung auf von diesen hinreichend konkret vorgetragenen Tatsachen sowie auf die den Behörden bekannte Tatsachen zu beschränken. (Modifizierter Amtsermittlungsgrundsatz)</w:t>
      </w:r>
    </w:p>
    <w:p w14:paraId="38F3D488" w14:textId="77777777" w:rsidR="001E6FC6" w:rsidRPr="00D168C3" w:rsidRDefault="001E6FC6" w:rsidP="001E6FC6">
      <w:pPr>
        <w:pStyle w:val="Listenabsatz"/>
        <w:jc w:val="both"/>
        <w:rPr>
          <w:rFonts w:cs="Arial"/>
        </w:rPr>
      </w:pPr>
    </w:p>
    <w:p w14:paraId="7D2D4131" w14:textId="77777777" w:rsidR="001E6FC6" w:rsidRPr="00D168C3" w:rsidRDefault="001E6FC6" w:rsidP="001E6FC6">
      <w:pPr>
        <w:pStyle w:val="Listenabsatz"/>
        <w:jc w:val="both"/>
        <w:rPr>
          <w:rFonts w:cs="Arial"/>
        </w:rPr>
      </w:pPr>
      <w:r w:rsidRPr="00D168C3">
        <w:rPr>
          <w:rFonts w:cs="Arial"/>
        </w:rPr>
        <w:t>Zu Nummer 21:</w:t>
      </w:r>
    </w:p>
    <w:p w14:paraId="4C2AE232" w14:textId="77777777" w:rsidR="001E6FC6" w:rsidRPr="00D168C3" w:rsidRDefault="001E6FC6" w:rsidP="001E6FC6">
      <w:pPr>
        <w:pStyle w:val="Listenabsatz"/>
        <w:jc w:val="both"/>
        <w:rPr>
          <w:rFonts w:cs="Arial"/>
        </w:rPr>
      </w:pPr>
      <w:r w:rsidRPr="00D168C3">
        <w:rPr>
          <w:rFonts w:cs="Arial"/>
          <w:highlight w:val="yellow"/>
        </w:rPr>
        <w:t xml:space="preserve">Platzhalter: </w:t>
      </w:r>
      <w:r w:rsidRPr="00847AB7">
        <w:rPr>
          <w:rFonts w:cs="Arial"/>
        </w:rPr>
        <w:t xml:space="preserve">Formulierung wird mit Bund und Ländern abgestimmt. </w:t>
      </w:r>
      <w:r w:rsidRPr="00D168C3">
        <w:rPr>
          <w:rFonts w:cs="Arial"/>
        </w:rPr>
        <w:t>Platzhalter: Formulierung wird mit Bund und Ländern abgestimmt. Stichtagsregelung für die Schutzgüter nach dem Gesetz über die Umweltverträglichkeitsprüfung (UVPG)</w:t>
      </w:r>
    </w:p>
    <w:p w14:paraId="2434797F" w14:textId="77777777" w:rsidR="001E6FC6" w:rsidRPr="00D168C3" w:rsidRDefault="001E6FC6" w:rsidP="001E6FC6">
      <w:pPr>
        <w:pStyle w:val="Listenabsatz"/>
        <w:jc w:val="both"/>
        <w:rPr>
          <w:rFonts w:cs="Arial"/>
        </w:rPr>
      </w:pPr>
    </w:p>
    <w:p w14:paraId="0C25D51B" w14:textId="77777777" w:rsidR="001E6FC6" w:rsidRPr="00D168C3" w:rsidRDefault="001E6FC6" w:rsidP="001E6FC6">
      <w:pPr>
        <w:pStyle w:val="Listenabsatz"/>
        <w:jc w:val="both"/>
        <w:rPr>
          <w:rFonts w:cs="Arial"/>
        </w:rPr>
      </w:pPr>
      <w:r w:rsidRPr="00D168C3">
        <w:rPr>
          <w:rFonts w:cs="Arial"/>
        </w:rPr>
        <w:t>Zu Nummer 22:</w:t>
      </w:r>
    </w:p>
    <w:p w14:paraId="479C2BD7" w14:textId="0F70D63F" w:rsidR="001E6FC6" w:rsidRPr="00D168C3" w:rsidRDefault="001E6FC6" w:rsidP="00AF188C">
      <w:pPr>
        <w:pStyle w:val="Listenabsatz"/>
        <w:jc w:val="both"/>
        <w:rPr>
          <w:rFonts w:cs="Arial"/>
        </w:rPr>
      </w:pPr>
      <w:r w:rsidRPr="00D168C3">
        <w:rPr>
          <w:rFonts w:cs="Arial"/>
          <w:highlight w:val="yellow"/>
        </w:rPr>
        <w:t xml:space="preserve">Platzhalter: </w:t>
      </w:r>
      <w:r w:rsidRPr="00847AB7">
        <w:rPr>
          <w:rFonts w:cs="Arial"/>
        </w:rPr>
        <w:t xml:space="preserve">Formulierung wird mit Bund und Ländern abgestimmt. </w:t>
      </w:r>
      <w:r w:rsidRPr="00847AB7">
        <w:rPr>
          <w:rFonts w:cs="Arial"/>
          <w:bCs/>
          <w:i/>
          <w:iCs/>
          <w:szCs w:val="24"/>
        </w:rPr>
        <w:t xml:space="preserve">Stichtagsregelung </w:t>
      </w:r>
      <w:r w:rsidRPr="00D168C3">
        <w:rPr>
          <w:rFonts w:cs="Arial"/>
          <w:bCs/>
          <w:i/>
          <w:iCs/>
          <w:szCs w:val="24"/>
        </w:rPr>
        <w:t>für die Schutzgüter nach dem Gesetz über die Umweltverträglichkeitsprüfung (UVPG)</w:t>
      </w:r>
      <w:r w:rsidRPr="00D168C3">
        <w:rPr>
          <w:rFonts w:cs="Arial"/>
        </w:rPr>
        <w:t xml:space="preserve"> </w:t>
      </w:r>
      <w:r w:rsidRPr="00D168C3">
        <w:rPr>
          <w:rFonts w:cs="Arial"/>
          <w:bCs/>
          <w:i/>
          <w:iCs/>
          <w:szCs w:val="24"/>
        </w:rPr>
        <w:t>Um das Planungsrisiko zusätzlich zu minimieren, wird dem Vorhabenträger im VwVfG die Möglichkeit gegeben, den für die Beurteilung der Sach- und Rechtslage sowie des Stands der Technik maßgeblichen Zeitpunkt durch einen der Bestandskraft fähigen Bescheid bereits deutlich vor der Entscheidung über die Genehmigung als solchen zu fixieren (Sicherungsbescheid). §§ 48, 49 VwVfG bleiben unberührt.</w:t>
      </w:r>
    </w:p>
    <w:p w14:paraId="60E5AC6E" w14:textId="77777777" w:rsidR="00E21B34" w:rsidRPr="00D168C3" w:rsidRDefault="00E21B34" w:rsidP="00AF188C">
      <w:pPr>
        <w:pStyle w:val="Listenabsatz"/>
        <w:jc w:val="both"/>
        <w:rPr>
          <w:rFonts w:cs="Arial"/>
        </w:rPr>
      </w:pPr>
    </w:p>
    <w:p w14:paraId="1B89C99B" w14:textId="77777777" w:rsidR="00A379E7" w:rsidRPr="00D168C3" w:rsidRDefault="00A379E7" w:rsidP="00AF188C">
      <w:pPr>
        <w:pStyle w:val="Listenabsatz"/>
        <w:numPr>
          <w:ilvl w:val="0"/>
          <w:numId w:val="7"/>
        </w:numPr>
        <w:jc w:val="both"/>
        <w:rPr>
          <w:rFonts w:cs="Arial"/>
          <w:b/>
          <w:bCs/>
        </w:rPr>
      </w:pPr>
    </w:p>
    <w:p w14:paraId="66FA166F" w14:textId="64884EF9" w:rsidR="009052C5" w:rsidRPr="00D168C3" w:rsidRDefault="00AF494E" w:rsidP="00AF188C">
      <w:pPr>
        <w:jc w:val="both"/>
        <w:rPr>
          <w:rFonts w:cs="Arial"/>
        </w:rPr>
      </w:pPr>
      <w:r w:rsidRPr="00D168C3">
        <w:rPr>
          <w:rFonts w:cs="Arial"/>
        </w:rPr>
        <w:t>Es handelt sich um eine r</w:t>
      </w:r>
      <w:r w:rsidR="009052C5" w:rsidRPr="00D168C3">
        <w:rPr>
          <w:rFonts w:cs="Arial"/>
        </w:rPr>
        <w:t>edaktionelle Anpassung. Das Bundesgesetz „zur Stärkung der frühen Öffentlichkeitsbeteiligung in Planungs- und Genehmigungsverfahren“ wurde in das Gesetz „für den Bürokratierückbau im Bereich des Bundesministeriums des Innern“ umbenannt.</w:t>
      </w:r>
    </w:p>
    <w:p w14:paraId="1A1C63C4" w14:textId="3A74D27C" w:rsidR="009052C5" w:rsidRPr="00D168C3" w:rsidRDefault="009052C5" w:rsidP="00AF188C">
      <w:pPr>
        <w:pStyle w:val="Listenabsatz"/>
        <w:numPr>
          <w:ilvl w:val="0"/>
          <w:numId w:val="7"/>
        </w:numPr>
        <w:jc w:val="both"/>
        <w:rPr>
          <w:rFonts w:cs="Arial"/>
          <w:b/>
          <w:bCs/>
        </w:rPr>
      </w:pPr>
    </w:p>
    <w:p w14:paraId="640BDF12" w14:textId="77777777" w:rsidR="006955EA" w:rsidRPr="00D168C3" w:rsidRDefault="006955EA" w:rsidP="00AF188C">
      <w:pPr>
        <w:pStyle w:val="Listenabsatz"/>
        <w:jc w:val="both"/>
        <w:rPr>
          <w:rFonts w:cs="Arial"/>
          <w:sz w:val="16"/>
          <w:szCs w:val="16"/>
        </w:rPr>
      </w:pPr>
    </w:p>
    <w:p w14:paraId="4D3E8B49" w14:textId="342A8B43" w:rsidR="00E540F6" w:rsidRPr="00D168C3" w:rsidRDefault="009052C5" w:rsidP="00AF188C">
      <w:pPr>
        <w:pStyle w:val="Listenabsatz"/>
        <w:jc w:val="both"/>
        <w:rPr>
          <w:rFonts w:cs="Arial"/>
        </w:rPr>
      </w:pPr>
      <w:r w:rsidRPr="00D168C3">
        <w:rPr>
          <w:rFonts w:cs="Arial"/>
        </w:rPr>
        <w:t>Zu Nummer 1:</w:t>
      </w:r>
    </w:p>
    <w:p w14:paraId="57621E06" w14:textId="11581252" w:rsidR="009052C5" w:rsidRPr="00D168C3" w:rsidRDefault="00F67E45" w:rsidP="00AF188C">
      <w:pPr>
        <w:pStyle w:val="Listenabsatz"/>
        <w:jc w:val="both"/>
        <w:rPr>
          <w:rFonts w:cs="Arial"/>
        </w:rPr>
      </w:pPr>
      <w:r w:rsidRPr="00D168C3">
        <w:rPr>
          <w:rFonts w:cs="Arial"/>
        </w:rPr>
        <w:t>Es handelt sich um eine redaktionelle Anpassung</w:t>
      </w:r>
      <w:r w:rsidR="009052C5" w:rsidRPr="00D168C3">
        <w:rPr>
          <w:rFonts w:cs="Arial"/>
        </w:rPr>
        <w:t>. Der Absatz 3 des Bundesgesetzes wurde inzwischen gestrichen und ist nunmehr Absatz 2.</w:t>
      </w:r>
    </w:p>
    <w:p w14:paraId="30E79F05" w14:textId="77777777" w:rsidR="00E540F6" w:rsidRPr="00D168C3" w:rsidRDefault="00E540F6" w:rsidP="00AF188C">
      <w:pPr>
        <w:pStyle w:val="Listenabsatz"/>
        <w:jc w:val="both"/>
        <w:rPr>
          <w:rFonts w:cs="Arial"/>
        </w:rPr>
      </w:pPr>
    </w:p>
    <w:p w14:paraId="10FE2070" w14:textId="77777777" w:rsidR="00E540F6" w:rsidRPr="00D168C3" w:rsidRDefault="009052C5" w:rsidP="00AF188C">
      <w:pPr>
        <w:pStyle w:val="Listenabsatz"/>
        <w:jc w:val="both"/>
        <w:rPr>
          <w:rFonts w:cs="Arial"/>
        </w:rPr>
      </w:pPr>
      <w:r w:rsidRPr="00D168C3">
        <w:rPr>
          <w:rFonts w:cs="Arial"/>
        </w:rPr>
        <w:t>Zu Nummer 2 Buchstabe a:</w:t>
      </w:r>
    </w:p>
    <w:p w14:paraId="2020DC1F" w14:textId="40CC596F" w:rsidR="009052C5" w:rsidRPr="00D168C3" w:rsidRDefault="009052C5" w:rsidP="00AF188C">
      <w:pPr>
        <w:pStyle w:val="Listenabsatz"/>
        <w:jc w:val="both"/>
        <w:rPr>
          <w:rFonts w:cs="Arial"/>
        </w:rPr>
      </w:pPr>
      <w:r w:rsidRPr="00D168C3">
        <w:rPr>
          <w:rFonts w:cs="Arial"/>
        </w:rPr>
        <w:t>Durch das Postrechtsmodernisierungsgesetz (PostModG) vom 15.07.2024 wurden die Brieflaufzeiten verlängert. In der Folge gelten Verwaltungsakte, die ab dem 01.01.2025 zur Post gegeben werden, elektronisch übermittelt oder elektronisch zum Abruf bereitgestellt werden, vier Tage später als bekannt gegeben. Durch die Anpassung im EGovG M-V wird der Gleichklang für die Bekanntgabefiktion sowohl für die postalische als auch elektronische Bekanntgabe für mehr Rechtssicherheit erreicht.</w:t>
      </w:r>
    </w:p>
    <w:p w14:paraId="7A8FD043" w14:textId="77777777" w:rsidR="00E540F6" w:rsidRPr="00D168C3" w:rsidRDefault="00E540F6" w:rsidP="00AF188C">
      <w:pPr>
        <w:pStyle w:val="Listenabsatz"/>
        <w:jc w:val="both"/>
        <w:rPr>
          <w:rFonts w:cs="Arial"/>
        </w:rPr>
      </w:pPr>
    </w:p>
    <w:p w14:paraId="5248CB0B" w14:textId="77777777" w:rsidR="00E540F6" w:rsidRPr="00D168C3" w:rsidRDefault="009052C5" w:rsidP="00AF188C">
      <w:pPr>
        <w:pStyle w:val="Listenabsatz"/>
        <w:jc w:val="both"/>
        <w:rPr>
          <w:rFonts w:cs="Arial"/>
        </w:rPr>
      </w:pPr>
      <w:r w:rsidRPr="00D168C3">
        <w:rPr>
          <w:rFonts w:cs="Arial"/>
        </w:rPr>
        <w:t>Zu Nummer 2 Buchstabe b:</w:t>
      </w:r>
    </w:p>
    <w:p w14:paraId="2D10AFD7" w14:textId="1F90C20B" w:rsidR="009052C5" w:rsidRPr="00D168C3" w:rsidRDefault="00B41A5D" w:rsidP="00AF188C">
      <w:pPr>
        <w:pStyle w:val="Listenabsatz"/>
        <w:jc w:val="both"/>
        <w:rPr>
          <w:rFonts w:cs="Arial"/>
        </w:rPr>
      </w:pPr>
      <w:r w:rsidRPr="00D168C3">
        <w:rPr>
          <w:rFonts w:cs="Arial"/>
          <w:highlight w:val="yellow"/>
        </w:rPr>
        <w:t xml:space="preserve">Platzhalter: </w:t>
      </w:r>
      <w:r w:rsidRPr="00847AB7">
        <w:rPr>
          <w:rFonts w:cs="Arial"/>
        </w:rPr>
        <w:t>Formulierung wird mit Bund und Ländern abgestimmt</w:t>
      </w:r>
      <w:r w:rsidR="00E21B34" w:rsidRPr="00D168C3">
        <w:rPr>
          <w:rFonts w:cs="Arial"/>
        </w:rPr>
        <w:t>.</w:t>
      </w:r>
      <w:r w:rsidR="001E6FC6" w:rsidRPr="00D168C3">
        <w:rPr>
          <w:rFonts w:cs="Arial"/>
        </w:rPr>
        <w:t xml:space="preserve"> Es soll eine Angleichung an die Bekanntgabe des VwVfG M-V bzw. des OZG erfolgen.</w:t>
      </w:r>
    </w:p>
    <w:p w14:paraId="7334D24F" w14:textId="4C751ECE" w:rsidR="00E540F6" w:rsidRPr="00D168C3" w:rsidRDefault="00E540F6" w:rsidP="00AF188C">
      <w:pPr>
        <w:pStyle w:val="Listenabsatz"/>
        <w:jc w:val="both"/>
        <w:rPr>
          <w:rFonts w:cs="Arial"/>
        </w:rPr>
      </w:pPr>
    </w:p>
    <w:p w14:paraId="442B9349" w14:textId="77777777" w:rsidR="00E540F6" w:rsidRPr="00D168C3" w:rsidRDefault="00E540F6" w:rsidP="00AF188C">
      <w:pPr>
        <w:pStyle w:val="Listenabsatz"/>
        <w:numPr>
          <w:ilvl w:val="0"/>
          <w:numId w:val="7"/>
        </w:numPr>
        <w:jc w:val="both"/>
        <w:rPr>
          <w:rFonts w:cs="Arial"/>
          <w:b/>
          <w:bCs/>
        </w:rPr>
      </w:pPr>
    </w:p>
    <w:p w14:paraId="6EAE294C" w14:textId="4631DAC6" w:rsidR="00E540F6" w:rsidRPr="00D168C3" w:rsidRDefault="00E540F6" w:rsidP="00AF188C">
      <w:pPr>
        <w:spacing w:after="0"/>
        <w:jc w:val="both"/>
        <w:rPr>
          <w:rFonts w:cs="Arial"/>
        </w:rPr>
      </w:pPr>
      <w:r w:rsidRPr="00D168C3">
        <w:rPr>
          <w:rFonts w:cs="Arial"/>
        </w:rPr>
        <w:lastRenderedPageBreak/>
        <w:t>Zu Nummer 1:</w:t>
      </w:r>
    </w:p>
    <w:p w14:paraId="6AFB42E2" w14:textId="10EE7FF4" w:rsidR="00E540F6" w:rsidRPr="00D168C3" w:rsidRDefault="00E540F6" w:rsidP="00AF188C">
      <w:pPr>
        <w:spacing w:after="0"/>
        <w:jc w:val="both"/>
        <w:rPr>
          <w:rFonts w:cs="Arial"/>
        </w:rPr>
      </w:pPr>
      <w:r w:rsidRPr="00D168C3">
        <w:rPr>
          <w:rFonts w:cs="Arial"/>
        </w:rPr>
        <w:t>Bei sämtlichen Entscheidungen der Enteignungsbehörde, die aufgrund mündlicher Verhandlung ergehen, wirken ehrenamtliche Beisitzerinnen und Beisitzer mit. Ehrenamtliche Beisitzer werden vom Kabinett bestellt und sollen über die erforderliche Fachkunde auf dem Gebiet des Grundstücks- und Bauwesens verfügen (§ 2 Absatz 1 der Verordnung zur Durchführung des Enteignungsverfahrens nach dem Baugesetzbuch vom 4. Mai 1993). Bestellt werden fast ausschließlich bei der IHK geführte Sachverständige für Grundstücksbewertungsfragen. Deren Beteiligung hat sich in der Vergangenheit auch grundsätzlich bewährt. Dennoch gibt es Sachverhalte, zu deren Aufklärung die Hinzuziehung von sachverständigen Dritten, die nicht Beteiligte des Verfahrens sind, nicht erforderlich ist. Die Mitwirkung ehrenamtlicher Beisitzerinnen und Beisitzer soll daher maßvoll beschränkt werden. Auf die Mitwirkung ehrenamtlicher Beisitzerinnen und Beisitzer kann in den Fällen verzichtet werden, in denen ihre Beteiligung keinen nennenswerten Vorteil bringt. Dies gilt insbesondere für die unter besonderem zeitlichem Druck durchzuführenden Besitzeinweisungsverfahren, in denen es in erster Linie um Rechtsfragen geht, sowie für einfach gelagerte Verfahren. So ist etwa mit Blick auf die Besitzeinweisungsverfahren, für die meist aufgrund fachgesetzlicher Bestimmungen wegen der besonderen Dringlichkeit von Bauvorhaben sehr kurze Fristen einzuhalten sind, der Einsatz von Beisitzerinnen und Beisitzern nicht vonnöten. Die Beurteilung von Grundstückswerten, für die die Kenntnisse der ehrenamtlichen Beisitzerinnen und Beisitzer von besonderer Bedeutung sind, spielt in Besitzeinweisungsverfahren nur eine untergeordnete Rolle, so dass in Besitzeinweisungsverfahren keine Entschädigungsregelung zu treffen ist, sondern lediglich die gesetzlich vorgeschriebenen Voraussetzungen zu prüfen sind, was in der Regel die oder der Vorsitzende der Enteignungsbehörde vornimmt. Im Sinne der Verfahrensbeschleunigung soll eine Hinzuziehung von ehrenamtlichen Beisitzerinnen und Beisitzern künftig im Ermessen der oder des Vorsitzenden liegen. Zudem wird dadurch neben dem Verwaltungsaufwand der Enteignungsbehörde für die Ladung der Beisitzerinnen und Beisitzern zu den mündlichen Verhandlungen oder dem Umlauf zur Unterzeichnung des jeweiligen Beschlusses auch die Vergütung, die die Beisitzerinnen und Beisitzer nach dem Justizvergütungs- und entschädigungsgesetz geltend machen, eingespart. In den Jahren 2023 bis 2025 wurden neun Verhandlungen zu Verfahren der vorzeitigen Besitzeinweisung durchgeführt; durchschnittlich wurde für jedes dieser Verfahren eine Vergütung von ca. 1.100,00 Euro abgerechnet. In 2026 sind bereits sechs Verhandlungen durchgeführt worden; die Rechnungen stehen noch aus. Die Kosten des Verfahrens trägt der Antragsteller (Vorhabensträger), welcher in der Regel die Interessen des Bundes oder des Landes vertritt und in deren Auftrag handelt. In einem zweiten Schritt wird nach entsprechender Durchführung des Rechtssetzungsverfahren</w:t>
      </w:r>
      <w:r w:rsidR="001E529E">
        <w:rPr>
          <w:rFonts w:cs="Arial"/>
        </w:rPr>
        <w:t>s</w:t>
      </w:r>
      <w:r w:rsidRPr="00D168C3">
        <w:rPr>
          <w:rFonts w:cs="Arial"/>
        </w:rPr>
        <w:t xml:space="preserve"> auch die Verordnung zur Durchführung des Enteignungsverfahrens nach dem Baugesetzbuch angepasst werden.</w:t>
      </w:r>
    </w:p>
    <w:p w14:paraId="5C97F80F" w14:textId="77777777" w:rsidR="006955EA" w:rsidRPr="00D168C3" w:rsidRDefault="006955EA" w:rsidP="00AF188C">
      <w:pPr>
        <w:spacing w:after="0"/>
        <w:jc w:val="both"/>
        <w:rPr>
          <w:rFonts w:cs="Arial"/>
        </w:rPr>
      </w:pPr>
    </w:p>
    <w:p w14:paraId="313FF757" w14:textId="124A972B" w:rsidR="004451ED" w:rsidRPr="00D168C3" w:rsidRDefault="005E3786" w:rsidP="00AF188C">
      <w:pPr>
        <w:spacing w:after="0"/>
        <w:jc w:val="both"/>
        <w:rPr>
          <w:rFonts w:cs="Arial"/>
        </w:rPr>
      </w:pPr>
      <w:r w:rsidRPr="00D168C3">
        <w:rPr>
          <w:rFonts w:cs="Arial"/>
        </w:rPr>
        <w:t>Zu N</w:t>
      </w:r>
      <w:r w:rsidR="00E540F6" w:rsidRPr="00D168C3">
        <w:rPr>
          <w:rFonts w:cs="Arial"/>
        </w:rPr>
        <w:t>ummer 2:</w:t>
      </w:r>
    </w:p>
    <w:p w14:paraId="529618E6" w14:textId="15276676" w:rsidR="00E540F6" w:rsidRPr="00D168C3" w:rsidRDefault="00E540F6" w:rsidP="00AF188C">
      <w:pPr>
        <w:jc w:val="both"/>
        <w:rPr>
          <w:rFonts w:cs="Arial"/>
        </w:rPr>
      </w:pPr>
      <w:r w:rsidRPr="00D168C3">
        <w:rPr>
          <w:rFonts w:cs="Arial"/>
        </w:rPr>
        <w:t xml:space="preserve">Im Hinblick auf das Ansinnen zur Entbürokratisierung und Verfahrensvereinfachung durch Genehmigungs- und Vollständigkeitsfiktion (Rn. 48 ff. der Föderalen Modernisierungsagenda) wurden ebenfalls Verfahren vor der Enteignungsbehörde einer Prüfung unterzogen. Mit Bezug auf die beabsichtigte Verfahrensbeschleunigung für die Planung von Infrastrukturprojekten (Rn. 97 der Föderalen Modernisierungsagenda) wird zudem angenommen, dass Vorhaben künftig häufiger im Wege der Plangenehmigung statt der Planfeststellung geregelt werden. Das Grundrecht aus Artikel 14 Grundgesetz, in dessen Schutzbereich durch eine Enteignung eingegriffen wird, ist unter der Maßgabe des Artikels 14 nur zum Wohle der Allgemeinheit zulässig. Ein Eingriff darf nur durch Gesetz oder aufgrund eines Gesetzes erfolgen, das Art </w:t>
      </w:r>
      <w:r w:rsidRPr="00D168C3">
        <w:rPr>
          <w:rFonts w:cs="Arial"/>
        </w:rPr>
        <w:lastRenderedPageBreak/>
        <w:t>und Ausmaß der Entschädigung regelt. Die Rechtfertigung eines Eingriffes in ein Grundrecht eines Einzelnen bedarf daher ebenso wie die Festlegung von Art und Ausmaß der Entschädigung einer eingehenden Prüfung im Rahmen der Enteignungs- und sonstigen Verfahren vor der Enteignungsbehörde. Auf eine Abwägung der Interessen im Einzelfall durch die Enteignungsbehörde kann somit nicht verzichtet werden. Sämtliche Verfahren vor der Enteignungsbehörde sind also entsprechend gründlich durchzuführen und die Entscheidungen genauestens abzuwägen. Im Ergebnis ist festzustellen, dass von den Instrumentarien der Genehmigungsfiktion sowie der Vollständigkeitsfiktion zur Verfahrensbeschleunigung hier entsprechend kein Gebrauch gemacht werden kann, und daher eine Ausnahmeregelung in Form der beabsichtigten Änderungen erforderlich ist.</w:t>
      </w:r>
    </w:p>
    <w:p w14:paraId="592EA874" w14:textId="77777777" w:rsidR="00E540F6" w:rsidRPr="00D168C3" w:rsidRDefault="00E540F6" w:rsidP="00AF188C">
      <w:pPr>
        <w:pStyle w:val="Listenabsatz"/>
        <w:numPr>
          <w:ilvl w:val="0"/>
          <w:numId w:val="7"/>
        </w:numPr>
        <w:jc w:val="both"/>
        <w:rPr>
          <w:rFonts w:cs="Arial"/>
          <w:b/>
          <w:bCs/>
        </w:rPr>
      </w:pPr>
    </w:p>
    <w:p w14:paraId="23926E8C" w14:textId="133ADB75" w:rsidR="00E540F6" w:rsidRPr="00D168C3" w:rsidRDefault="00E540F6" w:rsidP="00AF188C">
      <w:pPr>
        <w:jc w:val="both"/>
        <w:rPr>
          <w:rFonts w:cs="Arial"/>
        </w:rPr>
      </w:pPr>
      <w:r w:rsidRPr="00D168C3">
        <w:rPr>
          <w:rFonts w:cs="Arial"/>
        </w:rPr>
        <w:t>Die Regelung schafft die Pflicht der Landesregierung zur Stellungnahme zum Tätigkeitsbericht der Aufsichtsbehörde im Bereich des Datenschutzes ab.</w:t>
      </w:r>
    </w:p>
    <w:p w14:paraId="42288FE3" w14:textId="77777777" w:rsidR="00E540F6" w:rsidRPr="00D168C3" w:rsidRDefault="00E540F6" w:rsidP="00AF188C">
      <w:pPr>
        <w:pStyle w:val="Listenabsatz"/>
        <w:numPr>
          <w:ilvl w:val="0"/>
          <w:numId w:val="7"/>
        </w:numPr>
        <w:jc w:val="both"/>
        <w:rPr>
          <w:rFonts w:cs="Arial"/>
          <w:b/>
          <w:bCs/>
        </w:rPr>
      </w:pPr>
    </w:p>
    <w:p w14:paraId="2D2366B9" w14:textId="0DD90E8D" w:rsidR="00E540F6" w:rsidRPr="00D168C3" w:rsidRDefault="006955EA" w:rsidP="00AF188C">
      <w:pPr>
        <w:spacing w:after="0"/>
        <w:jc w:val="both"/>
        <w:rPr>
          <w:rFonts w:cs="Arial"/>
        </w:rPr>
      </w:pPr>
      <w:r w:rsidRPr="00D168C3">
        <w:rPr>
          <w:rFonts w:cs="Arial"/>
        </w:rPr>
        <w:t xml:space="preserve">Zu Nummer </w:t>
      </w:r>
      <w:r w:rsidR="00472889">
        <w:rPr>
          <w:rFonts w:cs="Arial"/>
        </w:rPr>
        <w:t>1</w:t>
      </w:r>
      <w:r w:rsidR="00AB1B04" w:rsidRPr="00D168C3">
        <w:rPr>
          <w:rFonts w:cs="Arial"/>
        </w:rPr>
        <w:t>:</w:t>
      </w:r>
      <w:r w:rsidRPr="00D168C3">
        <w:rPr>
          <w:rFonts w:cs="Arial"/>
        </w:rPr>
        <w:t xml:space="preserve"> </w:t>
      </w:r>
    </w:p>
    <w:p w14:paraId="5C6ABDC3" w14:textId="77777777" w:rsidR="00AB1B04" w:rsidRPr="00D168C3" w:rsidRDefault="006955EA" w:rsidP="00AB1B04">
      <w:pPr>
        <w:spacing w:after="0"/>
        <w:jc w:val="both"/>
        <w:rPr>
          <w:rFonts w:cs="Arial"/>
        </w:rPr>
      </w:pPr>
      <w:r w:rsidRPr="00D168C3">
        <w:rPr>
          <w:rFonts w:cs="Arial"/>
        </w:rPr>
        <w:t>Die Verbreitung von Informationen soll zukünftig nicht mehr Ziel des Gesetzes sein. Die bislang vorgesehene Möglichkeit einer allgemeinen oder unbegrenzten Inanspruchnahme des Informationszuganges würde dieses Ziel konterkarieren, da sie den Anwendungsbereich faktisch auf jede Person ausdehnen würde, unabhängig von einem Bezug zum Land Mecklenburg-Vorpommern. Vor diesem Hintergrund wird die Regelung zur aktiven Verbreitung von Informationen gestrichen Die Streichung dient daher der Systemkohärenz des Gesetzes und stellt sicher, dass Zweck und Anwendungsbereich in einem Verhältnis zueinanderstehen.</w:t>
      </w:r>
    </w:p>
    <w:p w14:paraId="5EFC15FD" w14:textId="1CCC15BD" w:rsidR="006955EA" w:rsidRPr="00D168C3" w:rsidRDefault="006955EA" w:rsidP="00AB1B04">
      <w:pPr>
        <w:spacing w:after="0"/>
        <w:jc w:val="both"/>
        <w:rPr>
          <w:rFonts w:cs="Arial"/>
        </w:rPr>
      </w:pPr>
      <w:r w:rsidRPr="00D168C3">
        <w:rPr>
          <w:rFonts w:cs="Arial"/>
        </w:rPr>
        <w:t>Die Regelung rückt die hergebrachte Zielrichtung des Informationsfreiheitsrechts mehr in den Fokus. Die demokratische Teilhabe der Bürgerinnen und Bürger am staatlichen Handeln war bereits bislang leitendes Ziel des Gesetzes und kam lediglich durch dessen Anwendung zum Ausdruck. Mit der Neuregelung wird dieses Ziel nun ausdrücklich gesetzlich normiert und damit rechtlich klargestellt. Die Klarstellung dient der Rechtssicherheit und der einheitlichen Anwendung des Gesetzes. Gleichzeitig wird verdeutlicht, dass der Informationszugang nicht Selbstzweck ist.</w:t>
      </w:r>
    </w:p>
    <w:p w14:paraId="7B165576" w14:textId="284898D0" w:rsidR="006955EA" w:rsidRPr="00D168C3" w:rsidRDefault="006955EA" w:rsidP="00AB1B04">
      <w:pPr>
        <w:spacing w:after="0"/>
        <w:jc w:val="both"/>
        <w:rPr>
          <w:rFonts w:cs="Arial"/>
        </w:rPr>
      </w:pPr>
      <w:r w:rsidRPr="00D168C3">
        <w:rPr>
          <w:rFonts w:cs="Arial"/>
        </w:rPr>
        <w:t>Die Neuregelung dient der Anpassung des persönlichen Anwendungsbereichs. Mit der Normierung des Wohnortes bei natürlichen beziehungsweise des Sitzes bei juristischen Personen, als Voraussetzung für die Inanspruchnahme der Rechte nach diesem Gesetz, wird die unmittelbare Betroffenheit der Entscheidungen der Behörden unseres Landes in Bezug gebracht. Die Beschränkung trägt dem Umstand Rechnung, dass die durch das Gesetz eröffneten Mitwirkungs- und Kontroll-möglichkeiten in erster Linie denjenigen zugutekommen sollen, die dauerhaft den rechtlichen, wirtschaftlichen und gesellschaftlichen Auswirkungen landes- und kommunalrechtlicher Entscheidungen unterliegen. Die Einschränkung des Anwendungsbereichs trägt darüber hinaus zur Verwaltungseffektivität bei, indem sie die Bearbeitung von Informationsfreiheitsanträgen auf den Kreis der tatsächlich Betroffenen konzentriert.</w:t>
      </w:r>
    </w:p>
    <w:p w14:paraId="574A1F4B" w14:textId="24435227" w:rsidR="009F614C" w:rsidRPr="00D168C3" w:rsidRDefault="009F614C" w:rsidP="00AB1B04">
      <w:pPr>
        <w:spacing w:after="0"/>
        <w:jc w:val="both"/>
        <w:rPr>
          <w:rFonts w:cs="Arial"/>
        </w:rPr>
      </w:pPr>
      <w:r w:rsidRPr="00D168C3">
        <w:rPr>
          <w:rFonts w:cs="Arial"/>
        </w:rPr>
        <w:t xml:space="preserve">Ergänzend zur Wohnsitz- bzw. Sitzvoraussetzung wird vorgesehen, dass auch ein Recht auf Zugang zu Informationen bestehen kann, sofern ein berechtigtes Interesse dargelegt werden kann. Damit wird dem Umstand Rechnung getragen, dass staatliches Handeln der Behörden in Einzelfällen auch Antragstellende als natürliche oder juristische Person außerhalb unseres Landes unmittelbar, in besonderer Weise oder in der Zukunft betreffen kann. Die Öffnungsregelung gewährleistet, dass der Anwendungsbereich nicht unangemessen verengt </w:t>
      </w:r>
      <w:r w:rsidRPr="00D168C3">
        <w:rPr>
          <w:rFonts w:cs="Arial"/>
        </w:rPr>
        <w:lastRenderedPageBreak/>
        <w:t>wird und sachlich gebotene Informationszugänge weiterhin möglich bleiben. Das berechtigte Interesse kann aus vernünftigen Erwägungen heraus resultieren, die rechtlicher, wirtschaftlicher oder ideeller Art sein können, weil ein konkreter Bezug zum Land Mecklenburg-Vorpommern noch besteht oder zukünftig bestehen kann (zum Beispiel, weil noch Eigentum in Mecklenburg-Vorpommern besteht oder ein Wohnsitzwechsel nach oder eine Investition in Mecklenburg-Vorpommern geprüft wird). Gleichzeitig bleibt eine allgemeine oder unbegrenzte Inanspruchnahme ausgeschlossen. Maßgeblich ist, dass eine Beziehung zwischen der gewünschten Information und dem Antragstellenden besteht.</w:t>
      </w:r>
    </w:p>
    <w:p w14:paraId="45B3794F" w14:textId="77777777" w:rsidR="00AB1B04" w:rsidRPr="00D168C3" w:rsidRDefault="00AB1B04" w:rsidP="00AB1B04">
      <w:pPr>
        <w:spacing w:after="0"/>
        <w:jc w:val="both"/>
        <w:rPr>
          <w:rFonts w:cs="Arial"/>
        </w:rPr>
      </w:pPr>
    </w:p>
    <w:p w14:paraId="21468A2A" w14:textId="3AA2DD19" w:rsidR="009F614C" w:rsidRPr="00D168C3" w:rsidRDefault="009F614C" w:rsidP="00AF188C">
      <w:pPr>
        <w:spacing w:after="0"/>
        <w:jc w:val="both"/>
        <w:rPr>
          <w:rFonts w:cs="Arial"/>
        </w:rPr>
      </w:pPr>
      <w:r w:rsidRPr="00D168C3">
        <w:rPr>
          <w:rFonts w:cs="Arial"/>
        </w:rPr>
        <w:t xml:space="preserve">Zu Nummer </w:t>
      </w:r>
      <w:r w:rsidR="00472889">
        <w:rPr>
          <w:rFonts w:cs="Arial"/>
        </w:rPr>
        <w:t>2</w:t>
      </w:r>
      <w:r w:rsidRPr="00D168C3">
        <w:rPr>
          <w:rFonts w:cs="Arial"/>
        </w:rPr>
        <w:t>:</w:t>
      </w:r>
    </w:p>
    <w:p w14:paraId="7862032A" w14:textId="6CD969C6" w:rsidR="009F614C" w:rsidRPr="00D168C3" w:rsidRDefault="004E12A8" w:rsidP="00AF188C">
      <w:pPr>
        <w:spacing w:after="0"/>
        <w:jc w:val="both"/>
        <w:rPr>
          <w:rFonts w:cs="Arial"/>
        </w:rPr>
      </w:pPr>
      <w:r w:rsidRPr="00D168C3">
        <w:rPr>
          <w:rFonts w:cs="Arial"/>
        </w:rPr>
        <w:t xml:space="preserve">Die Regelung verschiebt lediglich den Umstand, dass ein Antrag an diejenigen Behörden zu stellen ist, bei denen die begehrten Informationen vorhanden sind, aus § 10 Absatz 1 Satz 2 in den Satz 1. Die Regelung ändert die Antragsvoraussetzung vom Schriftformerfordernis in die Textform ab. Durch die Umstellung wird der Zugang zu den Rechten nach diesem Gesetz erleichtert und an die Anforderungen an eine moderne Verwaltung angepasst. Die Textform ermöglicht eine niedrigschwellige und zeitgemäße Antragstellung, insbesondere unter Nutzung elektronischer Kommunikation. Zugleich wird durch die Verpflichtung zur Angabe von Namen und Anschrift beziehungsweise Sitz sichergestellt, dass die Identität der antragstellenden Person sowie deren Zugehörigkeit zum persönlichen Anwendungsbereich des Gesetzes überprüfbar bleibt, da eine anonyme Antragstellung weiterhin ausgeschlossen ist. Die Regelung gewährleistet damit, dass die formale Erleichterung nicht zur faktischen Aus-weitung des Anwendungsbereichs führen kann und bei Bescheidung eines </w:t>
      </w:r>
      <w:r w:rsidR="00966E70" w:rsidRPr="00D168C3">
        <w:rPr>
          <w:rFonts w:cs="Arial"/>
        </w:rPr>
        <w:t>Antrages</w:t>
      </w:r>
      <w:r w:rsidRPr="00D168C3">
        <w:rPr>
          <w:rFonts w:cs="Arial"/>
        </w:rPr>
        <w:t xml:space="preserve"> auch eine zustellungsfähige Adresse vorliegt. Die Regelung stellt einen Ausgleich zwischen Verfahrensvereinfachung und Rechtssicherheit dar und verhindert anonyme oder rechtsmissbräuchliche Anträge und wahrt zugleich den Zweck des Gesetzes.</w:t>
      </w:r>
    </w:p>
    <w:p w14:paraId="7C22FADE" w14:textId="6BBBCC09" w:rsidR="009F614C" w:rsidRPr="00D168C3" w:rsidRDefault="00966E70" w:rsidP="00AF188C">
      <w:pPr>
        <w:jc w:val="both"/>
        <w:rPr>
          <w:rFonts w:cs="Arial"/>
        </w:rPr>
      </w:pPr>
      <w:r w:rsidRPr="00D168C3">
        <w:rPr>
          <w:rFonts w:cs="Arial"/>
        </w:rPr>
        <w:t>Die Regelung folgt der Änderung des persönlichen Anwendungsbereichs aus § 1 Absatz 2 Satz 2 (neu) und gewährleistet bereits im Stadium der Antragstellung eine Nachprüfbarkeit der Anspruchsvoraussetzungen, mithin die Nachvollziehbarkeit eines berechtigten Interesses.</w:t>
      </w:r>
    </w:p>
    <w:p w14:paraId="1E8F5FE5" w14:textId="391820AD" w:rsidR="00966E70" w:rsidRPr="00D168C3" w:rsidRDefault="00966E70" w:rsidP="00AF188C">
      <w:pPr>
        <w:spacing w:after="0"/>
        <w:jc w:val="both"/>
        <w:rPr>
          <w:rFonts w:cs="Arial"/>
        </w:rPr>
      </w:pPr>
      <w:r w:rsidRPr="00D168C3">
        <w:rPr>
          <w:rFonts w:cs="Arial"/>
        </w:rPr>
        <w:t xml:space="preserve">Zu Nummer </w:t>
      </w:r>
      <w:r w:rsidR="00472889">
        <w:rPr>
          <w:rFonts w:cs="Arial"/>
        </w:rPr>
        <w:t>3</w:t>
      </w:r>
      <w:r w:rsidRPr="00D168C3">
        <w:rPr>
          <w:rFonts w:cs="Arial"/>
        </w:rPr>
        <w:t>:</w:t>
      </w:r>
    </w:p>
    <w:p w14:paraId="2721F11E" w14:textId="11ACB7BE" w:rsidR="00966E70" w:rsidRPr="00D168C3" w:rsidRDefault="00966E70" w:rsidP="00AF188C">
      <w:pPr>
        <w:spacing w:after="0"/>
        <w:jc w:val="both"/>
        <w:rPr>
          <w:rFonts w:cs="Arial"/>
        </w:rPr>
      </w:pPr>
      <w:r w:rsidRPr="00D168C3">
        <w:rPr>
          <w:rFonts w:cs="Arial"/>
        </w:rPr>
        <w:t>Die Regelung schafft die Pflicht der Landesregierung zur Stellungnahme zum Tätigkeitsbericht der Kontrollstelle im Bereich der Informationsfreiheit ab.</w:t>
      </w:r>
    </w:p>
    <w:p w14:paraId="79FB202E" w14:textId="77777777" w:rsidR="006955EA" w:rsidRPr="00D168C3" w:rsidRDefault="006955EA" w:rsidP="00AF188C">
      <w:pPr>
        <w:spacing w:after="0"/>
        <w:jc w:val="both"/>
        <w:rPr>
          <w:rFonts w:cs="Arial"/>
        </w:rPr>
      </w:pPr>
    </w:p>
    <w:p w14:paraId="27D1CEB7" w14:textId="77777777" w:rsidR="00E51C00" w:rsidRPr="00D168C3" w:rsidRDefault="00E51C00" w:rsidP="00AF188C">
      <w:pPr>
        <w:pStyle w:val="Listenabsatz"/>
        <w:numPr>
          <w:ilvl w:val="0"/>
          <w:numId w:val="7"/>
        </w:numPr>
        <w:jc w:val="both"/>
        <w:rPr>
          <w:rFonts w:cs="Arial"/>
          <w:b/>
          <w:bCs/>
        </w:rPr>
      </w:pPr>
    </w:p>
    <w:p w14:paraId="77FDD86A" w14:textId="120453D8" w:rsidR="00E51C00" w:rsidRPr="00D168C3" w:rsidRDefault="00E51C00" w:rsidP="00AF188C">
      <w:pPr>
        <w:spacing w:after="0"/>
        <w:jc w:val="both"/>
        <w:rPr>
          <w:rFonts w:cs="Arial"/>
        </w:rPr>
      </w:pPr>
      <w:r w:rsidRPr="00D168C3">
        <w:rPr>
          <w:rFonts w:cs="Arial"/>
        </w:rPr>
        <w:t xml:space="preserve">Aufgrund der Verordnung (EU) 2024/3110 des Europäischen Parlaments und des Rates vom 27. November 2024 zur Festlegung harmonisierter Vorschriften für die Vermarktung von Bauprodukten und zur Aufhebung der Verordnung (EU) Nr. 305/2011 werden Änderungen im Zuständigkeitsrecht der Länder erforderlich. Bisher galt die Bauproduktenverordnung Verordnung (EU) Nr. 305/2011. Die novellierte Verordnung (EU) 2024/3110 wird ab dem 8. Januar 2026 allgemein anwendbar sein. Die bisherige Verordnung (EU) Nr. 305/2011 gilt in weiten Teilen noch bis zum 8. Januar 2040 parallel. Das Verhältnis der beiden Bauproduktenverordnungen zueinander ergibt sich aus Art. 94 und Art. 95 der Verordnung (EU) 2024/3110. Die in diesem Entwurf vorgeschlagenen Änderungen betreffen die Verweise auf die neue Rechtslage. Weitere Änderungen erfolgen nicht. Beibehalten werden die Regelungen zur Aufgabenabgrenzung zwischen der gemeinsamen Marktüberwachungsbehörde, dem Deutschen Institut für Bautechnik (DIBt), sowie der obersten Bauaufsichtsbehörde für harmonisierte Bauprodukte in Bezug auf die Abgabe der Sachbehandlung und den Wechsel der Zuständigkeit. Durch die Anpassung des </w:t>
      </w:r>
      <w:r w:rsidRPr="00D168C3">
        <w:rPr>
          <w:rFonts w:cs="Arial"/>
        </w:rPr>
        <w:lastRenderedPageBreak/>
        <w:t>Bauproduktenmarktüberwachungsgesetzes an das neue EU-Recht entstehen keine Kosten. Eine Befristung der Vorschriften ist nicht vorgesehen, da es sich um die Umsetzung von höherrangigem unbefristetem Recht handelt.</w:t>
      </w:r>
    </w:p>
    <w:p w14:paraId="0690F781" w14:textId="77777777" w:rsidR="00E51C00" w:rsidRPr="00D168C3" w:rsidRDefault="00E51C00" w:rsidP="00AF188C">
      <w:pPr>
        <w:spacing w:after="0"/>
        <w:jc w:val="both"/>
        <w:rPr>
          <w:rFonts w:cs="Arial"/>
        </w:rPr>
      </w:pPr>
    </w:p>
    <w:p w14:paraId="265CF467" w14:textId="349CA1F4" w:rsidR="00E540F6" w:rsidRPr="00D168C3" w:rsidRDefault="00E51C00" w:rsidP="00AF188C">
      <w:pPr>
        <w:spacing w:after="0"/>
        <w:jc w:val="both"/>
        <w:rPr>
          <w:rFonts w:cs="Arial"/>
        </w:rPr>
      </w:pPr>
      <w:r w:rsidRPr="00D168C3">
        <w:rPr>
          <w:rFonts w:cs="Arial"/>
        </w:rPr>
        <w:t>Zu Nummer 1:</w:t>
      </w:r>
    </w:p>
    <w:p w14:paraId="219BB25A" w14:textId="28343A27" w:rsidR="00E51C00" w:rsidRPr="00D168C3" w:rsidRDefault="00E51C00" w:rsidP="00AF188C">
      <w:pPr>
        <w:jc w:val="both"/>
        <w:rPr>
          <w:rFonts w:cs="Arial"/>
        </w:rPr>
      </w:pPr>
      <w:r w:rsidRPr="00D168C3">
        <w:rPr>
          <w:rFonts w:cs="Arial"/>
        </w:rPr>
        <w:t>Ein Vollzitat der neuen Bauproduktenverordnung (EU) 2024/3110 in der Überschrift und dem Text des Gesetzes ist nicht mehr erforderlich. Nach neueren Vorgaben werden Vollzitate von EU-Rechtsakten in einer Liste "EU-Rechtsakte" am Ende des Gesetzes angegeben. Im Text des Gesetzes kann daher das Kurzzitat „Verordnung (EU) 2024/3110“ verwendet werden. Die Liste "EU-Rechtsakte" mit dem jeweiligen Vollzitat ist am Ende des Mustertextes aufgeführt. Das Verhältnis der beiden Bauproduktenverordnungen zueinander ergibt sich aus Art. 94 und Art. 95 der Verordnung (EU) 2024/3110. Die Nennung der Verordnung (EU) Nr. 305/2011 in der Überschrift ist nicht mehr erforderlich. Im Übrigen richtet sich die Marktüberwachung ab dem 8. Januar 2026 nach Kap. VIII (Marktüberwachung und Schutzklauselverfahren) der neuen Verordnung (EU) 2024/3110. Artikel 56 bis 59 der Verordnung (EU) Nr. 305/2011 werden mit Wirkung zu diesem Zeitpunkt aufgehoben.</w:t>
      </w:r>
    </w:p>
    <w:p w14:paraId="7A32FA76" w14:textId="2FCF8D1B" w:rsidR="00DA6D78" w:rsidRPr="00D168C3" w:rsidRDefault="00DA6D78" w:rsidP="00AF188C">
      <w:pPr>
        <w:spacing w:after="0"/>
        <w:jc w:val="both"/>
        <w:rPr>
          <w:rFonts w:cs="Arial"/>
        </w:rPr>
      </w:pPr>
      <w:r w:rsidRPr="00D168C3">
        <w:rPr>
          <w:rFonts w:cs="Arial"/>
        </w:rPr>
        <w:t>Zu Nummer 2:</w:t>
      </w:r>
    </w:p>
    <w:p w14:paraId="76A7C0C8" w14:textId="28E7656A" w:rsidR="008F3BF3" w:rsidRPr="00D168C3" w:rsidRDefault="004267A4" w:rsidP="00AF188C">
      <w:pPr>
        <w:jc w:val="both"/>
        <w:rPr>
          <w:rFonts w:cs="Arial"/>
        </w:rPr>
      </w:pPr>
      <w:r w:rsidRPr="00D168C3">
        <w:rPr>
          <w:rFonts w:cs="Arial"/>
        </w:rPr>
        <w:t>Die Reihenfolge der Rechtsvorschriften wurde geändert. Führend ist die Verordnung (EU) 2024/3110, gefolgt von der Verordnung (EU) 2019/1020. Der neue Zusatz „hinsichtlich der Produkte, die nach den Verordnungen (EU) 2024/3110 und (EU) Nr. 305/2011 bereitgestellt werden dürfen“ stellt klar, dass dieses Gesetz nur die nach diesen Verordnungen harmonisierten (Bau-) Produkte erfasst. Dies ist erforderlich, da in die Verordnung (EU) 2024/3110 nunmehr auch produktsicherheitsbezogene Anforderungen aufgenommen wurden und von der Verordnung (EU) 2019/1020 sowie dem MüG auch Produkte aus anderen Rechtsbereichen erfasst sind. Nach Artikel 2 Absatz 1 Unterabsatz 3 der Verordnung (EU) 2023/988 gilt diese Verordnung in Teilen auch für die im Bauproduktenmarktüberwachungsgesetz genannten Produkte. Sie wird daher in den Text des Gesetzes aufgenommen. § 2 Absatz 1 benennt die Aufgaben der Marktüberwachungsbehörden in Bezug auf nach Verordnung (EU) Nr. 2024/3110 harmonisierte Bauprodukte.</w:t>
      </w:r>
    </w:p>
    <w:p w14:paraId="0659687A" w14:textId="33FF0259" w:rsidR="004267A4" w:rsidRPr="00D168C3" w:rsidRDefault="004267A4" w:rsidP="00AF188C">
      <w:pPr>
        <w:spacing w:after="0"/>
        <w:jc w:val="both"/>
        <w:rPr>
          <w:rFonts w:cs="Arial"/>
        </w:rPr>
      </w:pPr>
      <w:r w:rsidRPr="00D168C3">
        <w:rPr>
          <w:rFonts w:cs="Arial"/>
        </w:rPr>
        <w:t xml:space="preserve">Zu Nummer </w:t>
      </w:r>
      <w:r w:rsidR="008D65FF" w:rsidRPr="00D168C3">
        <w:rPr>
          <w:rFonts w:cs="Arial"/>
        </w:rPr>
        <w:t>3</w:t>
      </w:r>
      <w:r w:rsidRPr="00D168C3">
        <w:rPr>
          <w:rFonts w:cs="Arial"/>
        </w:rPr>
        <w:t>:</w:t>
      </w:r>
    </w:p>
    <w:p w14:paraId="5909EAEB" w14:textId="654CE22E" w:rsidR="008D65FF" w:rsidRPr="00D168C3" w:rsidRDefault="008D65FF" w:rsidP="00AF188C">
      <w:pPr>
        <w:spacing w:after="0"/>
        <w:jc w:val="both"/>
        <w:rPr>
          <w:rFonts w:cs="Arial"/>
        </w:rPr>
      </w:pPr>
      <w:r w:rsidRPr="00D168C3">
        <w:rPr>
          <w:rFonts w:cs="Arial"/>
        </w:rPr>
        <w:t>Die Vermarktung von Bauprodukten nach der Verordnung (EU) Nr. 305/2011 ist - je nach Fortschritt der Ersetzung harmonisierter technischer Spezifikationen nach dieser Verordnung durch neue Spezifikationen gemäß der Verordnung (EU) 2024/3110 - noch bis zum 7. Januar 2040 möglich. Aus diesem Grund müssen beide Verordnungen im Gesetzestext genannt werden. Das Wort "oder" ist zutreffend, da die Vermarktung jeweils nur nach der einen oder der anderen Verordnung erfolgen darf. Darüber hinaus erfolgt eine Anpassung an die Terminologie der Verordnung (EU) 2024/3110 (Verwendung des Begriffs „Risiko“ anstelle von „Gefahr“).</w:t>
      </w:r>
    </w:p>
    <w:p w14:paraId="447ED628" w14:textId="50EA8955" w:rsidR="008D65FF" w:rsidRPr="00D168C3" w:rsidRDefault="008D65FF" w:rsidP="00AF188C">
      <w:pPr>
        <w:spacing w:after="0"/>
        <w:jc w:val="both"/>
        <w:rPr>
          <w:rFonts w:cs="Arial"/>
        </w:rPr>
      </w:pPr>
    </w:p>
    <w:p w14:paraId="3D6E7973" w14:textId="77777777" w:rsidR="008D65FF" w:rsidRPr="00D168C3" w:rsidRDefault="008D65FF" w:rsidP="00AF188C">
      <w:pPr>
        <w:pStyle w:val="Listenabsatz"/>
        <w:numPr>
          <w:ilvl w:val="0"/>
          <w:numId w:val="7"/>
        </w:numPr>
        <w:jc w:val="both"/>
        <w:rPr>
          <w:rFonts w:cs="Arial"/>
          <w:b/>
          <w:bCs/>
        </w:rPr>
      </w:pPr>
    </w:p>
    <w:p w14:paraId="47217F41" w14:textId="65A357DF" w:rsidR="008D65FF" w:rsidRPr="00D168C3" w:rsidRDefault="008D65FF" w:rsidP="00AF188C">
      <w:pPr>
        <w:spacing w:after="0"/>
        <w:jc w:val="both"/>
        <w:rPr>
          <w:rFonts w:cs="Arial"/>
        </w:rPr>
      </w:pPr>
      <w:r w:rsidRPr="00D168C3">
        <w:rPr>
          <w:rFonts w:cs="Arial"/>
        </w:rPr>
        <w:t>Zu Nummer 2:</w:t>
      </w:r>
    </w:p>
    <w:p w14:paraId="06B20D05" w14:textId="6A7D6930" w:rsidR="008D65FF" w:rsidRPr="00D168C3" w:rsidRDefault="008D65FF" w:rsidP="00AF188C">
      <w:pPr>
        <w:spacing w:after="0"/>
        <w:jc w:val="both"/>
        <w:rPr>
          <w:rFonts w:cs="Arial"/>
        </w:rPr>
      </w:pPr>
      <w:r w:rsidRPr="00D168C3">
        <w:rPr>
          <w:rFonts w:cs="Arial"/>
        </w:rPr>
        <w:t xml:space="preserve">Zur Verminderung des Bürokratieaufwands wird die Anzeigepflicht für Hauptsatzungen der Landkreise und kreisfreien Städte sowie der großen kreisangehörigen Städte abgeschafft. Die Anzeigepflicht für Hauptsatzungen soll zukünftig nur noch für kreisangehörige Gemeinden, mit Ausnahme der großen kreisangehörigen Städte, bestehen. Diese Änderung stärkt die kommunale Eigenverantwortung und wird in den Landkreisen, kreisfreien Städten und großen </w:t>
      </w:r>
      <w:r w:rsidRPr="00D168C3">
        <w:rPr>
          <w:rFonts w:cs="Arial"/>
        </w:rPr>
        <w:lastRenderedPageBreak/>
        <w:t>kreisangehörigen Gemeinden sowie dem Ministerium für Inneres und Bau zur Entbürokratisierung und damit Entlastung beitragen. Die dem Ministerium rechtsaufsichtlich direkt unterstehenden Gebietskörperschaften (Landkreise, kreisfreie Städte, große kreisangehörige Städte) verfügen über das notwendige Fachwissen, um die Aufgabe selbst wahrnehmen zu können. Zudem obliegt den Landkreisen als untere Rechtsaufsichtsbehörde die Aufgabe, Hauptsatzungen der kreisangehörigen Gemeinden im Rahmen des Anzeigeverfahrens zu prüfen, so dass sie bereits vor diesem Hintergrund über die erforderliche fachliche Expertise verfügen. Den von der Abschaffung der Anzeigepflicht betroffenen Kommunen steht es frei, sich von sich aus mit dem Ministerium für Inneres und Bau zu einer geplanten Änderung bzw. Neufassung der Hauptsatzung auszutauschen und insoweit die Beratung der Kommunalaufsichtsbehörde in Anspruch zu nehmen. Die auf die Sicherstellung eines rechtskonformen Ortsrechts abzielenden rechtsaufsichtlichen Befugnisse bleiben unangetastet.</w:t>
      </w:r>
    </w:p>
    <w:p w14:paraId="683946FA" w14:textId="7864DE47" w:rsidR="008D65FF" w:rsidRPr="00D168C3" w:rsidRDefault="008D65FF" w:rsidP="00AF188C">
      <w:pPr>
        <w:spacing w:after="0"/>
        <w:jc w:val="both"/>
        <w:rPr>
          <w:rFonts w:cs="Arial"/>
        </w:rPr>
      </w:pPr>
    </w:p>
    <w:p w14:paraId="620CFB63" w14:textId="7F4C528D" w:rsidR="008D65FF" w:rsidRPr="00D168C3" w:rsidRDefault="008D65FF" w:rsidP="00AF188C">
      <w:pPr>
        <w:spacing w:after="0"/>
        <w:jc w:val="both"/>
        <w:rPr>
          <w:rFonts w:cs="Arial"/>
        </w:rPr>
      </w:pPr>
      <w:r w:rsidRPr="00D168C3">
        <w:rPr>
          <w:rFonts w:cs="Arial"/>
        </w:rPr>
        <w:t>Zu Nummer 3:</w:t>
      </w:r>
    </w:p>
    <w:p w14:paraId="314A7E60" w14:textId="1583D07D" w:rsidR="004451ED" w:rsidRPr="00D168C3" w:rsidRDefault="008D65FF" w:rsidP="00AF188C">
      <w:pPr>
        <w:jc w:val="both"/>
        <w:rPr>
          <w:rFonts w:cs="Arial"/>
        </w:rPr>
      </w:pPr>
      <w:r w:rsidRPr="00D168C3">
        <w:rPr>
          <w:rFonts w:cs="Arial"/>
        </w:rPr>
        <w:t>Nach § 24 Abs</w:t>
      </w:r>
      <w:r w:rsidR="00D168C3" w:rsidRPr="00D168C3">
        <w:rPr>
          <w:rFonts w:cs="Arial"/>
        </w:rPr>
        <w:t>atz</w:t>
      </w:r>
      <w:r w:rsidRPr="00D168C3">
        <w:rPr>
          <w:rFonts w:cs="Arial"/>
        </w:rPr>
        <w:t xml:space="preserve"> 5 kann ein Verstoß gegen das Mitwirkungsverbot oder ein ungerechtfertigter Ausschluss eines Mitglieds der Gemeindevertretung nach Ablauf eines Jahres nicht mehr geltend gemacht werden, es sei denn, dass der Verstoß oder der ungerechtfertigte Ausschluss innerhalb dieser Frist schriftlich gegenüber der Gemeinde geltend gemacht wird. Zur Verfahrensvereinfachung wird durch die Änderung das Schriftformerfordernis durch die Textform ersetzt.</w:t>
      </w:r>
    </w:p>
    <w:p w14:paraId="726105D1" w14:textId="35D9D5E5" w:rsidR="008D65FF" w:rsidRPr="00D168C3" w:rsidRDefault="008D65FF" w:rsidP="00AF188C">
      <w:pPr>
        <w:spacing w:after="0"/>
        <w:jc w:val="both"/>
        <w:rPr>
          <w:rFonts w:cs="Arial"/>
        </w:rPr>
      </w:pPr>
      <w:r w:rsidRPr="00D168C3">
        <w:rPr>
          <w:rFonts w:cs="Arial"/>
        </w:rPr>
        <w:t>Zu Nummer 4:</w:t>
      </w:r>
    </w:p>
    <w:p w14:paraId="6694B7EE" w14:textId="4EFAEF37" w:rsidR="008D65FF" w:rsidRPr="00D168C3" w:rsidRDefault="008D65FF" w:rsidP="00AF188C">
      <w:pPr>
        <w:jc w:val="both"/>
        <w:rPr>
          <w:rFonts w:cs="Arial"/>
        </w:rPr>
      </w:pPr>
      <w:r w:rsidRPr="00D168C3">
        <w:rPr>
          <w:rFonts w:cs="Arial"/>
        </w:rPr>
        <w:t>In § 33 ist der Widerspruch der Bürgermeisterin oder des Bürgermeisters gegen rechtswidrige Entscheidungen der Gemeindevertretung sowie die Beanstandung durch die Bürgermeisterin oder den Bürgermeister geregelt. Bislang ist vorgesehen, dass der Widerspruch und die Beanstandung schriftlich erklärt werden müssen. Zur Verfahrensvereinfachung wird durch die Änderung das Schriftformerfordernis durch die Textform ersetzt.</w:t>
      </w:r>
    </w:p>
    <w:p w14:paraId="786299BD" w14:textId="0EC248D1" w:rsidR="008D65FF" w:rsidRPr="00D168C3" w:rsidRDefault="008D65FF" w:rsidP="00AF188C">
      <w:pPr>
        <w:spacing w:after="0"/>
        <w:jc w:val="both"/>
        <w:rPr>
          <w:rFonts w:cs="Arial"/>
        </w:rPr>
      </w:pPr>
      <w:r w:rsidRPr="00D168C3">
        <w:rPr>
          <w:rFonts w:cs="Arial"/>
        </w:rPr>
        <w:t>Zu Nummer 5:</w:t>
      </w:r>
    </w:p>
    <w:p w14:paraId="4F1D3833" w14:textId="00EB434E" w:rsidR="00D168C3" w:rsidRPr="00D168C3" w:rsidRDefault="008D65FF" w:rsidP="00D168C3">
      <w:pPr>
        <w:jc w:val="both"/>
        <w:rPr>
          <w:rFonts w:cs="Arial"/>
        </w:rPr>
      </w:pPr>
      <w:r w:rsidRPr="00D168C3">
        <w:rPr>
          <w:rFonts w:cs="Arial"/>
        </w:rPr>
        <w:t>Die derzeitige Regelung sieht die Pflicht der Gemeinden zur Erstellung eines jährlichen Berichts vor, in welchem die Zuwendungsgeber, die Zuwendungen und die Zuwendungszwecke anzugeben sind. Der Bericht ist der Rechtsaufsichtsbehörde zu übersenden. Die Regelung gilt für die Landkreise gemäß § 120 Abs</w:t>
      </w:r>
      <w:r w:rsidR="00D168C3" w:rsidRPr="00D168C3">
        <w:rPr>
          <w:rFonts w:cs="Arial"/>
        </w:rPr>
        <w:t>atz</w:t>
      </w:r>
      <w:r w:rsidRPr="00D168C3">
        <w:rPr>
          <w:rFonts w:cs="Arial"/>
        </w:rPr>
        <w:t xml:space="preserve"> 1 entsprechend. Die Berichtspflicht an die Rechtsaufsichtsbehörde wurde (ebenso wie die Veröffentlichungspflicht in § 44 Absatz 4 Satz 6) ursprünglich eingefügt, um die zur Vermeidung des Anscheins von Korruption gebotene Transparenz zu gewährleisten. Die durch das Gesetz beabsichtigte Prüfung mit Blick auf die etwaige strafrechtliche Relevanz der Annahme von Zuwendungen ist jedoch letztlich durch die Rechtsaufsichtsbehörde faktisch ohne weitere detaillierte und umfangreiche Hintergrundinformationen nicht ansatzweise möglich und läuft daher ins Leere. Die Veröffentlichungspflicht soll jedoch mit Blick auf die Transparenz erhalten bleiben.</w:t>
      </w:r>
    </w:p>
    <w:p w14:paraId="2F01DBC3" w14:textId="77777777" w:rsidR="00D168C3" w:rsidRPr="00D168C3" w:rsidRDefault="00D168C3" w:rsidP="00D168C3">
      <w:pPr>
        <w:spacing w:after="0"/>
        <w:jc w:val="both"/>
        <w:rPr>
          <w:rFonts w:cs="Arial"/>
        </w:rPr>
      </w:pPr>
      <w:r w:rsidRPr="00D168C3">
        <w:rPr>
          <w:rFonts w:cs="Arial"/>
        </w:rPr>
        <w:t>Zu Nummer 6:</w:t>
      </w:r>
    </w:p>
    <w:p w14:paraId="71792213" w14:textId="63790ACE" w:rsidR="00D168C3" w:rsidRPr="00D168C3" w:rsidRDefault="00D168C3" w:rsidP="00AF188C">
      <w:pPr>
        <w:jc w:val="both"/>
        <w:rPr>
          <w:rFonts w:cs="Arial"/>
        </w:rPr>
      </w:pPr>
      <w:r w:rsidRPr="00D168C3">
        <w:rPr>
          <w:rFonts w:cs="Arial"/>
        </w:rPr>
        <w:t>Die Änderungen sind erforderlich, um auch für investive Kreditaufnahmen, die gemäß § 49 Absatz 2 während der vorläufigen Haushaltsführung erforderlich sind, die Genehmigungspflicht nach Maßgabe des in § 52 Absatz 2 neu eingefügten Satzes 2 (siehe zu Nummer 7) entfallen zu lassen, sofern der Haushaltsausgleich nach der bereits beschlossenen Haushaltssatzung im Haushaltsjahr und zum Ende des Finanzplanungszeitraums erreicht wird. Im Fall des § 49 Absatz 2 Satz 2 ist eine Einzelkreditgenehmigung – nach dem (mit Ausnahme des Satzes 2) entsprechend anzuwendenden § 52 Absatz 2 – stets erforderlich</w:t>
      </w:r>
    </w:p>
    <w:p w14:paraId="12238B4C" w14:textId="084BAD95" w:rsidR="008D65FF" w:rsidRPr="00D168C3" w:rsidRDefault="008D65FF" w:rsidP="00AF188C">
      <w:pPr>
        <w:spacing w:after="0"/>
        <w:jc w:val="both"/>
        <w:rPr>
          <w:rFonts w:cs="Arial"/>
        </w:rPr>
      </w:pPr>
      <w:r w:rsidRPr="00D168C3">
        <w:rPr>
          <w:rFonts w:cs="Arial"/>
        </w:rPr>
        <w:lastRenderedPageBreak/>
        <w:t xml:space="preserve">Zu Nummer </w:t>
      </w:r>
      <w:r w:rsidR="00D168C3">
        <w:rPr>
          <w:rFonts w:cs="Arial"/>
        </w:rPr>
        <w:t>7</w:t>
      </w:r>
      <w:r w:rsidRPr="00D168C3">
        <w:rPr>
          <w:rFonts w:cs="Arial"/>
        </w:rPr>
        <w:t>:</w:t>
      </w:r>
    </w:p>
    <w:p w14:paraId="01E59604" w14:textId="1E845210" w:rsidR="008D65FF" w:rsidRPr="00D168C3" w:rsidRDefault="005B4591" w:rsidP="00AF188C">
      <w:pPr>
        <w:spacing w:after="0"/>
        <w:jc w:val="both"/>
        <w:rPr>
          <w:rFonts w:cs="Arial"/>
        </w:rPr>
      </w:pPr>
      <w:r w:rsidRPr="00D168C3">
        <w:rPr>
          <w:rFonts w:cs="Arial"/>
        </w:rPr>
        <w:t>Die bisherige Genehmigungspflicht des in der Haushaltssatzung fest</w:t>
      </w:r>
      <w:r w:rsidR="00D168C3">
        <w:rPr>
          <w:rFonts w:cs="Arial"/>
        </w:rPr>
        <w:t>ge</w:t>
      </w:r>
      <w:r w:rsidRPr="00D168C3">
        <w:rPr>
          <w:rFonts w:cs="Arial"/>
        </w:rPr>
        <w:t>setzten Gesamtbetrags der Kreditaufnahmen für Investitionen und Investitionsförderungsmaßnahmen entfällt für Kommunen, die den Haushaltsausgleich im Haushaltsjahr und zum Ende des Finanzplanungszeitraums erreichen. In der Praxis werden Kreditaufnahmen dieser Kommunen in der Regel auch genehmigt. Sofern die Kreditaufnahme in Einzelfällen dennoch nicht mit einer geordneten Haushaltsführung vereinbar sein sollte, steht der Rechtsaufsichtsbehörde auch ohne Genehmigungsvorbehalt das allgemeine rechtsaufsichtliche Instrumentarium zur Verfügung, um in Einzelfällen gegensteuern zu können. Ausweislich der Haushaltsplanung 2025 hätten 305 von 806 Kommunen und Ämter (rund 38 Prozent) die neu geschaffenen Voraussetzungen für den Wegfall der Genehmigungspflicht erfüllt. Es kann daher davon ausgegangen werden, dass die Haushaltssatzungen und Wirtschaftspläne eines erheblichen Anteils von Kommunen künftig bei der Rechtsaufsichtsbehörde nur noch anzuzeigen sind und nach Veröffentlichung unmittelbar in Kraft treten können. Veranschlagungen in der Haushaltssatzung, insbesondere für neue Investitionsvorhaben, können damit schneller zur Umsetzung gelangen. Die Regelung dient damit der Verfahrensbeschleunigung, aber auch der Verwaltungsvereinfachung bei den Kommunalverwaltungen und den Rechtsaufsichtsbehörden.</w:t>
      </w:r>
    </w:p>
    <w:p w14:paraId="1C56AF93" w14:textId="77777777" w:rsidR="00D168C3" w:rsidRPr="00D168C3" w:rsidRDefault="00D168C3" w:rsidP="00AF188C">
      <w:pPr>
        <w:spacing w:after="0"/>
        <w:jc w:val="both"/>
        <w:rPr>
          <w:rFonts w:cs="Arial"/>
        </w:rPr>
      </w:pPr>
    </w:p>
    <w:p w14:paraId="7B4A4CDB" w14:textId="4BFAB6CD" w:rsidR="005B4591" w:rsidRPr="00D168C3" w:rsidRDefault="005B4591" w:rsidP="00AF188C">
      <w:pPr>
        <w:spacing w:after="0"/>
        <w:jc w:val="both"/>
        <w:rPr>
          <w:rFonts w:cs="Arial"/>
        </w:rPr>
      </w:pPr>
      <w:r w:rsidRPr="00D168C3">
        <w:rPr>
          <w:rFonts w:cs="Arial"/>
        </w:rPr>
        <w:t xml:space="preserve">Zu Nummer </w:t>
      </w:r>
      <w:r w:rsidR="00E93F6D">
        <w:rPr>
          <w:rFonts w:cs="Arial"/>
        </w:rPr>
        <w:t>8</w:t>
      </w:r>
      <w:r w:rsidRPr="00D168C3">
        <w:rPr>
          <w:rFonts w:cs="Arial"/>
        </w:rPr>
        <w:t>:</w:t>
      </w:r>
    </w:p>
    <w:p w14:paraId="5FEB9C7E" w14:textId="1FA095EF" w:rsidR="00E93F6D" w:rsidRPr="00D76E0D" w:rsidRDefault="00E93F6D" w:rsidP="00E93F6D">
      <w:pPr>
        <w:spacing w:after="0"/>
        <w:jc w:val="both"/>
        <w:rPr>
          <w:rFonts w:cs="Arial"/>
        </w:rPr>
      </w:pPr>
      <w:r w:rsidRPr="00D76E0D">
        <w:rPr>
          <w:rFonts w:cs="Arial"/>
        </w:rPr>
        <w:t>Der generelle Wegfall der Genehmigungspflicht für den in der Haushaltssatzung fest</w:t>
      </w:r>
      <w:r>
        <w:rPr>
          <w:rFonts w:cs="Arial"/>
        </w:rPr>
        <w:t>ge</w:t>
      </w:r>
      <w:r w:rsidRPr="00D76E0D">
        <w:rPr>
          <w:rFonts w:cs="Arial"/>
        </w:rPr>
        <w:t xml:space="preserve">setzten Höchstbetrag der Kassenkredite, die mit Blick auf den bisherigen Freibetrag insbesondere Kommunen mit schlechterer Haushaltslage betraf, dient der Verwaltungsvereinfachung und Verfahrensbeschleunigung. Insbesondere kleinere Kommunen treffen oftmals keine anderen genehmigungspflichtigen Festsetzungen (Investitionskredite, Verpflichtungsermächtigungen) in der Haushaltssatzung. Auch für diese Kommunen wäre die Haushaltssatzung künftig vor Veröffentlichung nur noch anzuzeigen, eine vorläufige Haushaltsführung kann damit weitgehend vermieden werden. Der Wegfall der Genehmigungspflicht ändert gleichwohl nicht die geltenden materiellen Voraussetzungen </w:t>
      </w:r>
      <w:r>
        <w:rPr>
          <w:rFonts w:cs="Arial"/>
        </w:rPr>
        <w:t xml:space="preserve">des § 53 </w:t>
      </w:r>
      <w:r w:rsidRPr="00D76E0D">
        <w:rPr>
          <w:rFonts w:cs="Arial"/>
        </w:rPr>
        <w:t>für die Aufnahme von Kassenkrediten, so dass diese weiterhin auf den zu Liquiditätssicherung notwendigen Umfang zu begrenzen sind. Da für Kassenkreditaufnahmen Zinsen anfallen, hat die Kommune grundsätzlich ein hinreichendes Eigeninteresse, diese nur zu tätigen, soweit dies zur Sicherung der Zahlungsfähigkeit notwendig ist. Da dies künftig eigenverantwortlich durch die Kommune zu bewerten ist, trägt die Regelung zur Stärkung der kommunalen Selbstverwaltung bei.</w:t>
      </w:r>
    </w:p>
    <w:p w14:paraId="6CF21BD6" w14:textId="1F22DE06" w:rsidR="005B4591" w:rsidRPr="00D168C3" w:rsidRDefault="005B4591" w:rsidP="00AF188C">
      <w:pPr>
        <w:spacing w:after="0"/>
        <w:jc w:val="both"/>
        <w:rPr>
          <w:rFonts w:cs="Arial"/>
        </w:rPr>
      </w:pPr>
    </w:p>
    <w:p w14:paraId="17AC5AA2" w14:textId="3D356ED8" w:rsidR="005B4591" w:rsidRPr="00D168C3" w:rsidRDefault="005B4591" w:rsidP="00AF188C">
      <w:pPr>
        <w:spacing w:after="0"/>
        <w:jc w:val="both"/>
        <w:rPr>
          <w:rFonts w:cs="Arial"/>
        </w:rPr>
      </w:pPr>
      <w:r w:rsidRPr="00D168C3">
        <w:rPr>
          <w:rFonts w:cs="Arial"/>
        </w:rPr>
        <w:t xml:space="preserve">Zu Nummer </w:t>
      </w:r>
      <w:r w:rsidR="00E93F6D">
        <w:rPr>
          <w:rFonts w:cs="Arial"/>
        </w:rPr>
        <w:t>9</w:t>
      </w:r>
      <w:r w:rsidRPr="00D168C3">
        <w:rPr>
          <w:rFonts w:cs="Arial"/>
        </w:rPr>
        <w:t>:</w:t>
      </w:r>
    </w:p>
    <w:p w14:paraId="35BF2B1D" w14:textId="777FAD00" w:rsidR="00E93F6D" w:rsidRPr="00D76E0D" w:rsidRDefault="00E93F6D" w:rsidP="00E93F6D">
      <w:pPr>
        <w:spacing w:after="0"/>
        <w:jc w:val="both"/>
        <w:rPr>
          <w:rFonts w:cs="Arial"/>
        </w:rPr>
      </w:pPr>
      <w:r w:rsidRPr="00D76E0D">
        <w:rPr>
          <w:rFonts w:cs="Arial"/>
        </w:rPr>
        <w:t>Analog zur Genehmigungspflicht des Gesamtbetrags der Kreditaufnahmen für Investitionen und Investitionsförderungsmaßnahmen entfällt auch die Genehmigungspflicht des Gesamtbetrags der Verpflichtungsermächtigungen, wenn der Haushaltsausgleich im Haushaltsjahr und zum Ende des Finanzplanungszeitraums erreicht wird. Für beide Genehmigungen gelten dieselben materiellen Voraussetzungen. Daher wird zur Begründung auf die Ausführungen zur Änderung von § 52</w:t>
      </w:r>
      <w:r>
        <w:rPr>
          <w:rFonts w:cs="Arial"/>
        </w:rPr>
        <w:t xml:space="preserve"> (siehe zu Nummer 7)</w:t>
      </w:r>
      <w:r w:rsidRPr="00D76E0D">
        <w:rPr>
          <w:rFonts w:cs="Arial"/>
        </w:rPr>
        <w:t xml:space="preserve"> verwiesen. Die Ziele der Verwaltungsvereinfachung und Verfahrensbeschleunigung könnten nicht erreicht werden, wenn nur die Genehmigungspflicht nach § 52 entfiele, die Genehmigungspflicht für den Gesamtbetrag der Verpflichtungsermächtigungen jedoch aufrechterhalten würde. Da die Genehmigung bei Kommunen mit guter Haushaltslage mit einer geordneten Haushaltsführung vereinbar und in der Praxis </w:t>
      </w:r>
      <w:r>
        <w:rPr>
          <w:rFonts w:cs="Arial"/>
        </w:rPr>
        <w:t xml:space="preserve">in </w:t>
      </w:r>
      <w:r w:rsidRPr="00D76E0D">
        <w:rPr>
          <w:rFonts w:cs="Arial"/>
        </w:rPr>
        <w:t xml:space="preserve">der Regel </w:t>
      </w:r>
      <w:r>
        <w:rPr>
          <w:rFonts w:cs="Arial"/>
        </w:rPr>
        <w:t>erteilt</w:t>
      </w:r>
      <w:r w:rsidRPr="00D76E0D">
        <w:rPr>
          <w:rFonts w:cs="Arial"/>
        </w:rPr>
        <w:t xml:space="preserve"> wird, ist der Wegfall des </w:t>
      </w:r>
      <w:r w:rsidRPr="00D76E0D">
        <w:rPr>
          <w:rFonts w:cs="Arial"/>
        </w:rPr>
        <w:lastRenderedPageBreak/>
        <w:t>Genehmigungserfordernisse</w:t>
      </w:r>
      <w:r w:rsidR="001E529E">
        <w:rPr>
          <w:rFonts w:cs="Arial"/>
        </w:rPr>
        <w:t>s</w:t>
      </w:r>
      <w:r w:rsidRPr="00D76E0D">
        <w:rPr>
          <w:rFonts w:cs="Arial"/>
        </w:rPr>
        <w:t xml:space="preserve"> für diese Kommunen in Abwägung mit der damit erreichten Verwaltungsentlastung vertretbar. </w:t>
      </w:r>
    </w:p>
    <w:p w14:paraId="1B3EBB7D" w14:textId="77777777" w:rsidR="005B4591" w:rsidRPr="00D168C3" w:rsidRDefault="005B4591" w:rsidP="00AF188C">
      <w:pPr>
        <w:spacing w:after="0"/>
        <w:jc w:val="both"/>
        <w:rPr>
          <w:rFonts w:cs="Arial"/>
        </w:rPr>
      </w:pPr>
    </w:p>
    <w:p w14:paraId="75457086" w14:textId="03F96655" w:rsidR="005B4591" w:rsidRPr="00D168C3" w:rsidRDefault="005B4591" w:rsidP="00AF188C">
      <w:pPr>
        <w:spacing w:after="0"/>
        <w:jc w:val="both"/>
        <w:rPr>
          <w:rFonts w:cs="Arial"/>
        </w:rPr>
      </w:pPr>
      <w:r w:rsidRPr="00D168C3">
        <w:rPr>
          <w:rFonts w:cs="Arial"/>
        </w:rPr>
        <w:t xml:space="preserve">Zu Nummer </w:t>
      </w:r>
      <w:r w:rsidR="00E93F6D">
        <w:rPr>
          <w:rFonts w:cs="Arial"/>
        </w:rPr>
        <w:t>10</w:t>
      </w:r>
      <w:r w:rsidR="007E537E" w:rsidRPr="00D168C3">
        <w:rPr>
          <w:rFonts w:cs="Arial"/>
        </w:rPr>
        <w:t xml:space="preserve"> und 1</w:t>
      </w:r>
      <w:r w:rsidR="00E93F6D">
        <w:rPr>
          <w:rFonts w:cs="Arial"/>
        </w:rPr>
        <w:t>3</w:t>
      </w:r>
      <w:r w:rsidRPr="00D168C3">
        <w:rPr>
          <w:rFonts w:cs="Arial"/>
        </w:rPr>
        <w:t>:</w:t>
      </w:r>
    </w:p>
    <w:p w14:paraId="1DCF1EDA" w14:textId="77777777" w:rsidR="005B4591" w:rsidRPr="00D168C3" w:rsidRDefault="005B4591" w:rsidP="00AF188C">
      <w:pPr>
        <w:spacing w:after="0"/>
        <w:jc w:val="both"/>
        <w:rPr>
          <w:rFonts w:cs="Arial"/>
        </w:rPr>
      </w:pPr>
      <w:r w:rsidRPr="00D168C3">
        <w:rPr>
          <w:rFonts w:cs="Arial"/>
        </w:rPr>
        <w:t>Für die Genehmigungstatbestände aus § 56 Absatz 6 Nummer 1 wird zur besseren Übersichtlichkeit eine nummerische Aufzählung gewählt.</w:t>
      </w:r>
    </w:p>
    <w:p w14:paraId="2DDF627E" w14:textId="77777777" w:rsidR="005B4591" w:rsidRPr="00D168C3" w:rsidRDefault="005B4591" w:rsidP="00AF188C">
      <w:pPr>
        <w:spacing w:after="0"/>
        <w:jc w:val="both"/>
        <w:rPr>
          <w:rFonts w:cs="Arial"/>
        </w:rPr>
      </w:pPr>
      <w:r w:rsidRPr="00D168C3">
        <w:rPr>
          <w:rFonts w:cs="Arial"/>
        </w:rPr>
        <w:t>Die bislang gemäß § 56 Absatz 6 Nummer 2 für die Veräußerung von Eigenbetrieben oder Beteiligungen an Unternehmen bestehende Genehmigungspflicht wird auf eine Anzeigepflicht reduziert (umgesetzt mit § 77 Absatz 1 Nummer 4), wobei die unentgeltliche Veräußerung von Eigenbetrieben oder Beteiligungen weiterhin gemäß § 56 Absatz 6 Nummer 1 genehmigungspflichtig bleibt.</w:t>
      </w:r>
    </w:p>
    <w:p w14:paraId="6DD258AF" w14:textId="77777777" w:rsidR="005B4591" w:rsidRPr="00D168C3" w:rsidRDefault="005B4591" w:rsidP="00AF188C">
      <w:pPr>
        <w:spacing w:after="0"/>
        <w:jc w:val="both"/>
        <w:rPr>
          <w:rFonts w:cs="Arial"/>
        </w:rPr>
      </w:pPr>
      <w:r w:rsidRPr="00D168C3">
        <w:rPr>
          <w:rFonts w:cs="Arial"/>
        </w:rPr>
        <w:t xml:space="preserve">Des Weiteren wird zur Verminderung des Bürokratieaufwands die Einbringung von Vermögensgegenständen in Unternehmen in privater Rechtsform grundsätzlich genehmigungsfrei gestellt; die unentgeltliche Einbringung von Vermögensgegenständen und die Einbringung von Grundstücken unter dem vollen Wert in Unternehmen privater Rechtsform bleiben gemäß § 56 Absatz 6 Nummer 1 und 2 (neu) genehmigungspflichtig. </w:t>
      </w:r>
    </w:p>
    <w:p w14:paraId="0D25862E" w14:textId="39A11468" w:rsidR="005B4591" w:rsidRPr="00D168C3" w:rsidRDefault="005B4591" w:rsidP="00AF188C">
      <w:pPr>
        <w:spacing w:after="0"/>
        <w:jc w:val="both"/>
        <w:rPr>
          <w:rFonts w:cs="Arial"/>
        </w:rPr>
      </w:pPr>
      <w:r w:rsidRPr="00D168C3">
        <w:rPr>
          <w:rFonts w:cs="Arial"/>
        </w:rPr>
        <w:t>Die Reduktion der Genehmigungspflichten trägt dazu bei, Zeitersparnisse für die Kommunen und Rechtsaufsichtsbehörden zu schaffen.</w:t>
      </w:r>
    </w:p>
    <w:p w14:paraId="7BB79538" w14:textId="7AFE660F" w:rsidR="005B4591" w:rsidRPr="00D168C3" w:rsidRDefault="005B4591" w:rsidP="00AF188C">
      <w:pPr>
        <w:jc w:val="both"/>
        <w:rPr>
          <w:rFonts w:cs="Arial"/>
        </w:rPr>
      </w:pPr>
    </w:p>
    <w:p w14:paraId="0C9E3B73" w14:textId="127EE196" w:rsidR="005B4591" w:rsidRPr="00D168C3" w:rsidRDefault="005B4591" w:rsidP="00AF188C">
      <w:pPr>
        <w:spacing w:after="0"/>
        <w:jc w:val="both"/>
        <w:rPr>
          <w:rFonts w:cs="Arial"/>
        </w:rPr>
      </w:pPr>
      <w:r w:rsidRPr="00D168C3">
        <w:rPr>
          <w:rFonts w:cs="Arial"/>
        </w:rPr>
        <w:t>Zu Nummer 1</w:t>
      </w:r>
      <w:r w:rsidR="00E93F6D">
        <w:rPr>
          <w:rFonts w:cs="Arial"/>
        </w:rPr>
        <w:t>1</w:t>
      </w:r>
      <w:r w:rsidRPr="00D168C3">
        <w:rPr>
          <w:rFonts w:cs="Arial"/>
        </w:rPr>
        <w:t>:</w:t>
      </w:r>
    </w:p>
    <w:p w14:paraId="45AF3568" w14:textId="77777777" w:rsidR="005B4591" w:rsidRPr="00D168C3" w:rsidRDefault="005B4591" w:rsidP="00AF188C">
      <w:pPr>
        <w:spacing w:after="0"/>
        <w:jc w:val="both"/>
        <w:rPr>
          <w:rFonts w:cs="Arial"/>
        </w:rPr>
      </w:pPr>
      <w:r w:rsidRPr="00D168C3">
        <w:rPr>
          <w:rFonts w:cs="Arial"/>
        </w:rPr>
        <w:t>Rechtsgeschäfte nach Absatz 1 Satz 1 und Absatz 2 binden regelmäßig erhebliche personelle Ressourcen bei den Rechtsaufsichtsbehörden. Mit der Umstellung auf ein qualifiziertes Anzeigeverfahren bleibt die Möglichkeit einer umfassenden rechtlichen Prüfung unverändert bestehen; zugleich kann in den Fällen, in denen keine rechtlichen Bedenken bestehen, auf ein vollständiges Genehmigungsverfahren verzichtet werden. Dadurch können personelle Ressourcen zielgerichteter eingesetzt werden.</w:t>
      </w:r>
    </w:p>
    <w:p w14:paraId="33CC341F" w14:textId="63F7E01B" w:rsidR="005B4591" w:rsidRPr="00D168C3" w:rsidRDefault="005B4591" w:rsidP="00AF188C">
      <w:pPr>
        <w:spacing w:after="0"/>
        <w:jc w:val="both"/>
        <w:rPr>
          <w:rFonts w:cs="Arial"/>
        </w:rPr>
      </w:pPr>
      <w:r w:rsidRPr="00D168C3">
        <w:rPr>
          <w:rFonts w:cs="Arial"/>
        </w:rPr>
        <w:t>Auf kommunaler Ebene bleiben die materiellen Anforderungen an die o.a. Rechtsgeschäfte unberührt. Die Regelung führt jedoch zu einer Stärkung der kommunalen Selbstverwaltung, insbesondere indem sie den Kommunen eine verlässlichere zeitliche Planung und Umsetzung ihrer Entscheidungen ermöglicht.</w:t>
      </w:r>
    </w:p>
    <w:p w14:paraId="7CB931CC" w14:textId="67B86C1F" w:rsidR="005B4591" w:rsidRPr="00D168C3" w:rsidRDefault="005B4591" w:rsidP="00AF188C">
      <w:pPr>
        <w:spacing w:after="0"/>
        <w:jc w:val="both"/>
        <w:rPr>
          <w:rFonts w:cs="Arial"/>
        </w:rPr>
      </w:pPr>
    </w:p>
    <w:p w14:paraId="61299DCF" w14:textId="77777777" w:rsidR="00E93F6D" w:rsidRPr="00E93F6D" w:rsidRDefault="00E93F6D" w:rsidP="00E93F6D">
      <w:pPr>
        <w:spacing w:after="0"/>
        <w:jc w:val="both"/>
        <w:rPr>
          <w:rFonts w:cs="Arial"/>
        </w:rPr>
      </w:pPr>
      <w:r w:rsidRPr="00E93F6D">
        <w:rPr>
          <w:rFonts w:cs="Arial"/>
        </w:rPr>
        <w:t>Zu Nummer 12:</w:t>
      </w:r>
    </w:p>
    <w:p w14:paraId="06DCD2F3" w14:textId="27E07D6E" w:rsidR="00E93F6D" w:rsidRDefault="00E93F6D" w:rsidP="00E93F6D">
      <w:pPr>
        <w:spacing w:after="0"/>
        <w:jc w:val="both"/>
        <w:rPr>
          <w:rFonts w:cs="Arial"/>
        </w:rPr>
      </w:pPr>
      <w:r w:rsidRPr="00E93F6D">
        <w:rPr>
          <w:rFonts w:cs="Arial"/>
        </w:rPr>
        <w:t>Die Änderung des § 64 ist eine Folgeänderung, die sich aus dem neu in § 52 Absatz 2 eingefügten Satz 2 ergibt (siehe zu Nummer 7). Hängt der Ausgleich der Sonderrechnung wesentlich von Finanzzuweisungen aus dem Haushalt der Gemeinde ab, entfällt die Genehmigungspflicht nach § 52 Absatz 2 Satz 1 nur dann, wenn auch die Gemeinde den Haushaltsausgleich im Haushaltsjahr und zum Ende des Finanzplanungszeitraums erreicht.</w:t>
      </w:r>
    </w:p>
    <w:p w14:paraId="6A38A21A" w14:textId="77777777" w:rsidR="00E93F6D" w:rsidRDefault="00E93F6D" w:rsidP="00E93F6D">
      <w:pPr>
        <w:spacing w:after="0"/>
        <w:jc w:val="both"/>
        <w:rPr>
          <w:rFonts w:cs="Arial"/>
        </w:rPr>
      </w:pPr>
    </w:p>
    <w:p w14:paraId="2918DBC5" w14:textId="2E8386F3" w:rsidR="005B4591" w:rsidRPr="00D168C3" w:rsidRDefault="005B4591" w:rsidP="00AF188C">
      <w:pPr>
        <w:spacing w:after="0"/>
        <w:jc w:val="both"/>
        <w:rPr>
          <w:rFonts w:cs="Arial"/>
        </w:rPr>
      </w:pPr>
      <w:r w:rsidRPr="00D168C3">
        <w:rPr>
          <w:rFonts w:cs="Arial"/>
        </w:rPr>
        <w:t>Zu Nummer 1</w:t>
      </w:r>
      <w:r w:rsidR="00E93F6D">
        <w:rPr>
          <w:rFonts w:cs="Arial"/>
        </w:rPr>
        <w:t>4</w:t>
      </w:r>
      <w:r w:rsidRPr="00D168C3">
        <w:rPr>
          <w:rFonts w:cs="Arial"/>
        </w:rPr>
        <w:t>:</w:t>
      </w:r>
    </w:p>
    <w:p w14:paraId="082558E6" w14:textId="2B0AA735" w:rsidR="005B4591" w:rsidRPr="00D168C3" w:rsidRDefault="005B4591" w:rsidP="00AF188C">
      <w:pPr>
        <w:spacing w:after="0"/>
        <w:jc w:val="both"/>
        <w:rPr>
          <w:rFonts w:cs="Arial"/>
        </w:rPr>
      </w:pPr>
      <w:r w:rsidRPr="00D168C3">
        <w:rPr>
          <w:rFonts w:cs="Arial"/>
        </w:rPr>
        <w:t>In § 111 ist der Widerspruch der Landrätin bzw. des Landrates gegen rechtswidrige Entscheidungen des Kreistags sowie die Beanstandung durch die Landrätin oder den Landrat geregelt. Bislang ist vorgesehen, dass der Widerspruch und die Beanstandung schriftlich erklärt werden müssen. Zur Verfahrensvereinfachung wird durch die Änderung das Schriftformerfordernis durch die Textform ersetzt.</w:t>
      </w:r>
    </w:p>
    <w:p w14:paraId="52BD7472" w14:textId="49290B3C" w:rsidR="005B4591" w:rsidRPr="00D168C3" w:rsidRDefault="005B4591" w:rsidP="00AF188C">
      <w:pPr>
        <w:spacing w:after="0"/>
        <w:jc w:val="both"/>
        <w:rPr>
          <w:rFonts w:cs="Arial"/>
        </w:rPr>
      </w:pPr>
    </w:p>
    <w:p w14:paraId="46A0E41F" w14:textId="46851D09" w:rsidR="005B4591" w:rsidRPr="00D168C3" w:rsidRDefault="005B4591" w:rsidP="00AF188C">
      <w:pPr>
        <w:spacing w:after="0"/>
        <w:jc w:val="both"/>
        <w:rPr>
          <w:rFonts w:cs="Arial"/>
        </w:rPr>
      </w:pPr>
      <w:r w:rsidRPr="00D168C3">
        <w:rPr>
          <w:rFonts w:cs="Arial"/>
        </w:rPr>
        <w:t xml:space="preserve">Zu Nummer </w:t>
      </w:r>
      <w:r w:rsidR="00E93F6D">
        <w:rPr>
          <w:rFonts w:cs="Arial"/>
        </w:rPr>
        <w:t>15</w:t>
      </w:r>
      <w:r w:rsidRPr="00D168C3">
        <w:rPr>
          <w:rFonts w:cs="Arial"/>
        </w:rPr>
        <w:t>:</w:t>
      </w:r>
    </w:p>
    <w:p w14:paraId="542EF7E2" w14:textId="3AEA58BD" w:rsidR="005B4591" w:rsidRPr="00D168C3" w:rsidRDefault="005B4591" w:rsidP="00AF188C">
      <w:pPr>
        <w:spacing w:after="0"/>
        <w:jc w:val="both"/>
        <w:rPr>
          <w:rFonts w:cs="Arial"/>
        </w:rPr>
      </w:pPr>
      <w:r w:rsidRPr="00D168C3">
        <w:rPr>
          <w:rFonts w:cs="Arial"/>
        </w:rPr>
        <w:t>Nach § 127 Abs</w:t>
      </w:r>
      <w:r w:rsidR="00E93F6D">
        <w:rPr>
          <w:rFonts w:cs="Arial"/>
        </w:rPr>
        <w:t>atz</w:t>
      </w:r>
      <w:r w:rsidRPr="00D168C3">
        <w:rPr>
          <w:rFonts w:cs="Arial"/>
        </w:rPr>
        <w:t xml:space="preserve"> 6 kann die Gemeindevertretung einer amtsangehörigen Gemeinde einem Beschluss des Amtsausschusses widersprechen, wenn der Beschluss das Wohl der </w:t>
      </w:r>
      <w:r w:rsidRPr="00D168C3">
        <w:rPr>
          <w:rFonts w:cs="Arial"/>
        </w:rPr>
        <w:lastRenderedPageBreak/>
        <w:t>Gemeinde gefährdet. Bislang muss der Widerspruch schriftlich eingereicht werden. Zur Verfahrensvereinfachung wird durch die Änderung das Schriftformerfordernis durch die Textform ersetzt.</w:t>
      </w:r>
    </w:p>
    <w:p w14:paraId="00C21ADB" w14:textId="318CFB02" w:rsidR="005B4591" w:rsidRPr="00D168C3" w:rsidRDefault="005B4591" w:rsidP="00AF188C">
      <w:pPr>
        <w:spacing w:after="0"/>
        <w:jc w:val="both"/>
        <w:rPr>
          <w:rFonts w:cs="Arial"/>
        </w:rPr>
      </w:pPr>
    </w:p>
    <w:p w14:paraId="08863F18" w14:textId="5000AF24" w:rsidR="005B4591" w:rsidRPr="00D168C3" w:rsidRDefault="005B4591" w:rsidP="00AF188C">
      <w:pPr>
        <w:spacing w:after="0"/>
        <w:jc w:val="both"/>
        <w:rPr>
          <w:rFonts w:cs="Arial"/>
        </w:rPr>
      </w:pPr>
      <w:r w:rsidRPr="00D168C3">
        <w:rPr>
          <w:rFonts w:cs="Arial"/>
        </w:rPr>
        <w:t>Zu Nummer 1</w:t>
      </w:r>
      <w:r w:rsidR="00E93F6D">
        <w:rPr>
          <w:rFonts w:cs="Arial"/>
        </w:rPr>
        <w:t>6</w:t>
      </w:r>
      <w:r w:rsidRPr="00D168C3">
        <w:rPr>
          <w:rFonts w:cs="Arial"/>
        </w:rPr>
        <w:t>:</w:t>
      </w:r>
    </w:p>
    <w:p w14:paraId="76F082CA" w14:textId="3A89819A" w:rsidR="005B4591" w:rsidRPr="00D168C3" w:rsidRDefault="005B4591" w:rsidP="00AF188C">
      <w:pPr>
        <w:spacing w:after="0"/>
        <w:jc w:val="both"/>
        <w:rPr>
          <w:rFonts w:cs="Arial"/>
        </w:rPr>
      </w:pPr>
      <w:r w:rsidRPr="00D168C3">
        <w:rPr>
          <w:rFonts w:cs="Arial"/>
        </w:rPr>
        <w:t xml:space="preserve">In § 140 ist der Widerspruch der Amtsvorsteherin </w:t>
      </w:r>
      <w:r w:rsidR="00E93F6D">
        <w:rPr>
          <w:rFonts w:cs="Arial"/>
        </w:rPr>
        <w:t>oder</w:t>
      </w:r>
      <w:r w:rsidRPr="00D168C3">
        <w:rPr>
          <w:rFonts w:cs="Arial"/>
        </w:rPr>
        <w:t xml:space="preserve"> des Amtsvorstehers gegen rechtswidrige Entscheidungen des Amtsausschusses sowie die Beanstandung durch die Amtsvorsteherin oder den Amtsvorsteher geregelt. Bislang ist vorgesehen, dass der Widerspruch und die Beanstandung schriftlich erklärt werden müssen. Zur Verfahrensvereinfachung wird durch die Änderung das Schriftformerfordernis durch die Textform ersetzt.</w:t>
      </w:r>
    </w:p>
    <w:p w14:paraId="6AB9975C" w14:textId="6CF0A0E0" w:rsidR="00F50311" w:rsidRPr="00D168C3" w:rsidRDefault="00F50311" w:rsidP="00AF188C">
      <w:pPr>
        <w:spacing w:after="0"/>
        <w:jc w:val="both"/>
        <w:rPr>
          <w:rFonts w:cs="Arial"/>
        </w:rPr>
      </w:pPr>
    </w:p>
    <w:p w14:paraId="6658A643" w14:textId="32E84582" w:rsidR="00F50311" w:rsidRPr="00D168C3" w:rsidRDefault="00F50311" w:rsidP="00AF188C">
      <w:pPr>
        <w:spacing w:after="0"/>
        <w:jc w:val="both"/>
        <w:rPr>
          <w:rFonts w:cs="Arial"/>
        </w:rPr>
      </w:pPr>
      <w:r w:rsidRPr="00D168C3">
        <w:rPr>
          <w:rFonts w:cs="Arial"/>
        </w:rPr>
        <w:t>Zu Nummer 1</w:t>
      </w:r>
      <w:r w:rsidR="00E93F6D">
        <w:rPr>
          <w:rFonts w:cs="Arial"/>
        </w:rPr>
        <w:t>7</w:t>
      </w:r>
      <w:r w:rsidRPr="00D168C3">
        <w:rPr>
          <w:rFonts w:cs="Arial"/>
        </w:rPr>
        <w:t>:</w:t>
      </w:r>
    </w:p>
    <w:p w14:paraId="2E31C914" w14:textId="77777777" w:rsidR="00E93F6D" w:rsidRPr="00D76E0D" w:rsidRDefault="00E93F6D" w:rsidP="00E93F6D">
      <w:pPr>
        <w:spacing w:after="0"/>
        <w:jc w:val="both"/>
        <w:rPr>
          <w:rFonts w:cs="Arial"/>
        </w:rPr>
      </w:pPr>
      <w:r w:rsidRPr="00D76E0D">
        <w:rPr>
          <w:rFonts w:cs="Arial"/>
        </w:rPr>
        <w:t xml:space="preserve">Die Anwendbarkeit der Genehmigungsfiktion nach § 42a VwVfG </w:t>
      </w:r>
      <w:r>
        <w:rPr>
          <w:rFonts w:cs="Arial"/>
        </w:rPr>
        <w:t xml:space="preserve">M-V </w:t>
      </w:r>
      <w:r w:rsidRPr="00D76E0D">
        <w:rPr>
          <w:rFonts w:cs="Arial"/>
        </w:rPr>
        <w:t xml:space="preserve">wird ausgeschlossen, weil die genannten Regelungen z.B. den grundlegenden Status oder die Handlungsfähigkeit der Körperschaft betreffen oder mit Blick auf die Rechtsklarheit eine Genehmigungsfiktion nicht in Frage kommt. Zudem wird mit Blick auf die Haftung von Aufsichtsbehörden insbesondere auf das Urteil des Bundesgerichtshofs (BGH) vom 12. Dezember 2002 (Aktenzeichen III ZR 201/01, sogenanntes "Oderwitz-Urteil") verwiesen. </w:t>
      </w:r>
      <w:r>
        <w:rPr>
          <w:rFonts w:cs="Arial"/>
        </w:rPr>
        <w:t>U</w:t>
      </w:r>
      <w:r w:rsidRPr="00D76E0D">
        <w:rPr>
          <w:rFonts w:cs="Arial"/>
        </w:rPr>
        <w:t xml:space="preserve">m Haftungsrisiken zu vermeiden, würden sich Personalmehrbedarfe ergeben. Die Regelungen in § 8 Absatz 1, 3 und 4 sowie § 94 enthalten Vorschriften zur Verleihung von Namen und Bezeichnungen der Kommunen. Sie betreffen daher den grundlegenden Status der jeweiligen Kommune. Jegliche Änderung eines kommunalen Namens oder einer kommunalen Bezeichnung hat erhebliche Auswirkungen auf die Kommune selbst sowie ihre Bürgerinnen und Bürger. Rechtsfehlerhafte Verleihungen führen daher zwangsläufig zu erheblichem Rückabwicklungsaufwand. Unabhängig davon setzt das Verleihungsverfahren mit Blick auf die vielfältige Betroffenheit ein umfangreiches Beteiligungsverfahren voraus, das regelmäßig innerhalb von drei Monaten nicht abzuschließen ist. Eine Genehmigungsfiktion kommt daher nicht in Betracht. Die Regelungen in § 12 Absatz 1, auf die durch § 97 Absatz 3 verwiesen wird, betrifft Gebietsänderungen von Kommunen. Gebietsänderungsverfahren betreffen daher den grundlegenden Status einer Kommune, hier v.a. mit Blick auf das Gemeindegebiet und die damit im Zusammenhang stehende Gebietshoheit. Der Eintritt einer rechtsfehlerhaften Genehmigungsfiktion würde dazu führen, dass das grundlegende Rechtsverhältnis der Kommune rechtlich nicht geklärt wäre. So könnten beispielsweise im Rahmen des Genehmigungsverfahrens eingereichte, sich widersprechende oder nicht eindeutige Karten im Falle einer Genehmigungsfiktion dazu führen, dass nicht klar wäre, welche Gemeindegrenzen bestehen. Mit Blick auf die erheblichen rechtlichen Folgen kommt eine Genehmigungsfiktion nicht in Betracht. </w:t>
      </w:r>
    </w:p>
    <w:p w14:paraId="2762ACA3" w14:textId="77777777" w:rsidR="00847AB7" w:rsidRDefault="00E93F6D" w:rsidP="00E93F6D">
      <w:pPr>
        <w:spacing w:after="0"/>
        <w:jc w:val="both"/>
        <w:rPr>
          <w:rFonts w:cs="Arial"/>
        </w:rPr>
      </w:pPr>
      <w:r w:rsidRPr="00D76E0D">
        <w:rPr>
          <w:rFonts w:cs="Arial"/>
        </w:rPr>
        <w:t>In § 30 Absatz 3 und § 108 Absatz 3 ist geregelt, dass die Bürgermeisterin oder der Bürgermeister bzw. die Landrätin oder der Landrat im Falle einer fortdauernden Beschlussunfähigkeit der Gemeindevertretung bzw. des Kreistags eine Entscheidung mit Genehmigung der Rechtsaufsichtsbehörde treffen kann. Diese weitreichende Entscheidungsbefugnis erfasst sämtliche mögliche Beschlussmaterien der jeweiligen Vertretungskörperschaft und sichert die Handlungsfähigkeit der jeweiligen Kommune. Eine fehlerhafte Genehmigungsfiktion könnte in Abhängigkeit von der jeweiligen Sachmaterie zu ganz erheblichen negativen Auswirkungen für die Kommune führen. Daher kommt eine Genehmigungsfiktion nicht in Betracht.</w:t>
      </w:r>
      <w:r w:rsidR="00847AB7">
        <w:rPr>
          <w:rFonts w:cs="Arial"/>
        </w:rPr>
        <w:t xml:space="preserve"> </w:t>
      </w:r>
    </w:p>
    <w:p w14:paraId="434BB41B" w14:textId="692ABB5C" w:rsidR="00E93F6D" w:rsidRPr="00D76E0D" w:rsidRDefault="00E93F6D" w:rsidP="00E93F6D">
      <w:pPr>
        <w:spacing w:after="0"/>
        <w:jc w:val="both"/>
        <w:rPr>
          <w:rFonts w:cs="Arial"/>
        </w:rPr>
      </w:pPr>
      <w:r w:rsidRPr="00D76E0D">
        <w:rPr>
          <w:rFonts w:cs="Arial"/>
        </w:rPr>
        <w:t xml:space="preserve">Nach § 42b kann zur Weiterentwicklung der kommunalen Selbstverwaltung das für Kommunalangelegenheiten zuständige Ministerium gegenüber einer Gemeinde auf deren </w:t>
      </w:r>
      <w:r w:rsidRPr="00D76E0D">
        <w:rPr>
          <w:rFonts w:cs="Arial"/>
        </w:rPr>
        <w:lastRenderedPageBreak/>
        <w:t>Antrag zeitlich begrenzte Ausnahmen von haushalts- und organisationsrechtlichen Vorschriften dieses Gesetzes und der nach § 174 erlassenen Regelungen nach Maßgabe des Absatzes 2 zulassen. Diese Experimentierklausel ermöglicht Abweichungen von auch grundlegenden Regelungen der Kommunalverfassung. Eine rechtsfehlerhafte Genehmigungsfiktion kann daher ganz erhebliche Auswirkungen auf die Kommune haben.</w:t>
      </w:r>
    </w:p>
    <w:p w14:paraId="4A49582F" w14:textId="77777777" w:rsidR="00E93F6D" w:rsidRDefault="00E93F6D" w:rsidP="00E93F6D">
      <w:pPr>
        <w:spacing w:after="0"/>
        <w:jc w:val="both"/>
        <w:rPr>
          <w:rFonts w:cs="Arial"/>
        </w:rPr>
      </w:pPr>
      <w:r w:rsidRPr="00D76E0D">
        <w:rPr>
          <w:rFonts w:cs="Arial"/>
        </w:rPr>
        <w:t>Die in den §§ 126, 150a, 152, 165, 167 und 169 enthaltenen Genehmigungserfordernisse betreffen v.a. unterschiedliche Formen kommunaler Zusammenarbeit, z.B. in Form von Zweckverbänden und Verwaltungsgemeinschaften, sowie Aufgabenübertragungen auf andere kommunale Körperschaften. Hierbei handelt es sich im Regelfall um sehr komplexe Vorhaben, die den grundlegenden Status und Aufgabenbestand der Kommune betreffen und daher erhebliche Auswirkungen auf die kommunale Organisation, das kommunale Personal und die Kommunalfinanzen haben können. Eine rechtswidrige Genehmigungsfiktion könnte zum Beispiel im Rahmen der Genehmigung eines öffentlich-rechtlichen Vertrages zur Gründung eines Zweckverbandes oder zur Übernahme der Verwaltung eines Amtes durch eine amtsangehörige Gemeinde dazu führen, dass der Gründungsakt nichtig ist oder in anderer Hinsicht zu erheblichen Nachteilen für die beteiligten Kommunen führen kann, etwa weil die Handlungsfähigkeit der kommunalen Körperschaft nicht sichergestellt wäre. Zudem erfordern entsprechende Gründungsvorhaben im Regelfall eine umfangreiche Prüfung und ein umfangreiches Beteiligungsverfahren sowie eine Nachforderung von Unterlagen und Informationen, so dass im Regelfall eine Dreimonatsfrist nicht zur Anwendung gelangen kann.</w:t>
      </w:r>
    </w:p>
    <w:p w14:paraId="180373FF" w14:textId="77777777" w:rsidR="00847AB7" w:rsidRDefault="00847AB7" w:rsidP="00AF188C">
      <w:pPr>
        <w:spacing w:after="0"/>
        <w:jc w:val="both"/>
        <w:rPr>
          <w:rFonts w:cs="Arial"/>
        </w:rPr>
      </w:pPr>
    </w:p>
    <w:p w14:paraId="082FA1C0" w14:textId="0F85B87E" w:rsidR="00F50311" w:rsidRPr="00D168C3" w:rsidRDefault="00E93F6D" w:rsidP="00AF188C">
      <w:pPr>
        <w:spacing w:after="0"/>
        <w:jc w:val="both"/>
        <w:rPr>
          <w:rFonts w:cs="Arial"/>
        </w:rPr>
      </w:pPr>
      <w:r>
        <w:rPr>
          <w:rFonts w:cs="Arial"/>
        </w:rPr>
        <w:t>Die Genehmigungsfiktion nach § 42a VwVfG M-V findet gleichermaßen keine Anwendung auf rechtsaufsichtliche Genehmigungsentscheidungen zu in der Haushaltssatzung festzusetzenden Krediten für Investitionen und Investitionsförderungsmaßnahmen und Verpflichtungsermächtigungen (§ 52 Absatz 2 sowie § 54 Absatz 4 i.V.m. § 52 Absatz 2).</w:t>
      </w:r>
      <w:r w:rsidRPr="00D76E0D">
        <w:rPr>
          <w:rFonts w:cs="Arial"/>
        </w:rPr>
        <w:t xml:space="preserve"> </w:t>
      </w:r>
      <w:r>
        <w:rPr>
          <w:rFonts w:cs="Arial"/>
        </w:rPr>
        <w:t>Da die Haushaltssatzungen grundsätzlich vor Beginn des Haushaltsjahres anzuzeigen sind, vor November jedoch in der Regel noch keine Orientierungsdaten vorliegen, werden den Rechtsaufsichtsbehörden in einem engen Zeitraum die Haushaltssatzungen von 806 kommunalen Körperschaften zuzüglich zahlreicher Haushaltssatzungen und Wirtschaftspläne von Eigenbetrieben und Zweckverbänden vorgelegt. Es handelt sich bei den rechtsaufsichtlichen Genehmigungsentscheidungen insoweit nicht um ein typisches Genehmigungsverfahren, in dem nur die Genehmigungsfähigkeit einer einzelnen Maßnahme zu prüfen ist, sondern die Haushaltssatzungen und Wirtschaftspläne enthalten eine Vielzahl von Einzelmaßnahmen, die in eine Gesamtgenehmigung Eingang finden. Die Anwendung der Genehmigungsfiktion nach § 42a VwVfG M-V ist mithin auszuschließen, da andernfalls erhebliche Personalmehrbedarfe entstehen würden, um Haftungsrisiken durch den Eintritt einer Genehmigungsfiktion, ohne dass aus Zeitgründen eine hinreichende Prüfung erfolgen konnte, zu minimieren. Zur Haftung von Aufsichtsbehörden wird auch in diesem Zusammenhang insbesondere auf das oben genannte Urteil des Bundesgerichtshofs</w:t>
      </w:r>
      <w:r w:rsidRPr="00D76E0D">
        <w:rPr>
          <w:rFonts w:cs="Arial"/>
        </w:rPr>
        <w:t xml:space="preserve"> </w:t>
      </w:r>
      <w:r>
        <w:rPr>
          <w:rFonts w:cs="Arial"/>
        </w:rPr>
        <w:t xml:space="preserve">vom 12. Dezember 2002 („Oderwitz-Urteil“) verwiesen. Dem Ziel der Deregulierung wird stattdessen inhaltlich deutlich weitergehend mit dem teilweisen Wegfall des Genehmigungsvorbehalts Rechnung getragen (siehe zu Nummer 7 und 9). Für Einzelkreditgenehmigungen wird die Genehmigungsfiktion hingegen nicht ausgeschlossen, da es sich hierbei um Einzelverfahren handelt und eine abschließende Prüfung innerhalb eines Zeitraums von drei Monaten, wie auch in anderen regulären Genehmigungsverfahren, leistbar erscheint. Dies gilt beispielsweise für eine genehmigungspflichtige Einzelkreditgenehmigung nach Maßgabe des § 49 Absatz 2 i.V.m. § 52 Absatz 2 (siehe zu Nummer 6). </w:t>
      </w:r>
    </w:p>
    <w:p w14:paraId="1B5E9564" w14:textId="302C901A" w:rsidR="00F50311" w:rsidRDefault="00F50311" w:rsidP="00AF188C">
      <w:pPr>
        <w:spacing w:after="0"/>
        <w:jc w:val="both"/>
        <w:rPr>
          <w:rFonts w:cs="Arial"/>
        </w:rPr>
      </w:pPr>
    </w:p>
    <w:p w14:paraId="38A0F728" w14:textId="77777777" w:rsidR="00847AB7" w:rsidRPr="00D168C3" w:rsidRDefault="00847AB7" w:rsidP="00AF188C">
      <w:pPr>
        <w:spacing w:after="0"/>
        <w:jc w:val="both"/>
        <w:rPr>
          <w:rFonts w:cs="Arial"/>
        </w:rPr>
      </w:pPr>
    </w:p>
    <w:p w14:paraId="5EE2286C" w14:textId="77777777" w:rsidR="00F50311" w:rsidRPr="00D168C3" w:rsidRDefault="00F50311" w:rsidP="00AF188C">
      <w:pPr>
        <w:pStyle w:val="Listenabsatz"/>
        <w:numPr>
          <w:ilvl w:val="0"/>
          <w:numId w:val="7"/>
        </w:numPr>
        <w:jc w:val="both"/>
        <w:rPr>
          <w:rFonts w:cs="Arial"/>
          <w:b/>
          <w:bCs/>
        </w:rPr>
      </w:pPr>
    </w:p>
    <w:p w14:paraId="00993BFC" w14:textId="5ED09D23" w:rsidR="00F50311" w:rsidRPr="00D168C3" w:rsidRDefault="00F50311" w:rsidP="00AF188C">
      <w:pPr>
        <w:jc w:val="both"/>
        <w:rPr>
          <w:rFonts w:cs="Arial"/>
        </w:rPr>
      </w:pPr>
      <w:r w:rsidRPr="00D168C3">
        <w:rPr>
          <w:rFonts w:cs="Arial"/>
        </w:rPr>
        <w:t>Der Zustimmungsvorbehalt des Innenministeriums, der zudem dem Einvernehmen des Finanzministeriums unterliegt, für eine im Land bisher nicht erhobene kommunale Steuer wird durch eine einfache Anzeigepflicht bei dem für Kommunalangelegenheiten zuständigen Ministerium ersetzt. Dies stärkt die kommunale Selbstverwaltung. Auf eine Anzeige einer von einer kommunalen Vertretungskörperschaft beschlossenen Satzung, mit der eine im Land bisher nicht erhobene Steuer neu eingeführt wird, wird gleichwohl nicht verzichtet, um insbesondere dem für Kommunalangelegenheiten zuständigen Ministerium im Bedarfsfall Gelegenheit zu geben, die im Zusammenhang mit dem Erfinden neuer kommunaler Steuern auftretenden Rechtsfragen rechtsaufsichtlich zu begleiten.</w:t>
      </w:r>
    </w:p>
    <w:p w14:paraId="46B54BE0" w14:textId="77777777" w:rsidR="00F50311" w:rsidRPr="00D168C3" w:rsidRDefault="00F50311" w:rsidP="00AF188C">
      <w:pPr>
        <w:pStyle w:val="Listenabsatz"/>
        <w:numPr>
          <w:ilvl w:val="0"/>
          <w:numId w:val="7"/>
        </w:numPr>
        <w:jc w:val="both"/>
        <w:rPr>
          <w:rFonts w:cs="Arial"/>
          <w:b/>
          <w:bCs/>
        </w:rPr>
      </w:pPr>
    </w:p>
    <w:p w14:paraId="78AC8F99" w14:textId="1E6FB5F9" w:rsidR="00F50311" w:rsidRPr="00D168C3" w:rsidRDefault="00F50311" w:rsidP="00AF188C">
      <w:pPr>
        <w:spacing w:after="0"/>
        <w:jc w:val="both"/>
        <w:rPr>
          <w:rFonts w:cs="Arial"/>
        </w:rPr>
      </w:pPr>
      <w:r w:rsidRPr="00D168C3">
        <w:rPr>
          <w:rFonts w:cs="Arial"/>
        </w:rPr>
        <w:t>Zu Nummer 1:</w:t>
      </w:r>
    </w:p>
    <w:p w14:paraId="76FDA47A" w14:textId="683232F2" w:rsidR="00F50311" w:rsidRPr="00D168C3" w:rsidRDefault="00F50311" w:rsidP="00AF188C">
      <w:pPr>
        <w:spacing w:after="0"/>
        <w:jc w:val="both"/>
        <w:rPr>
          <w:rFonts w:cs="Arial"/>
        </w:rPr>
      </w:pPr>
      <w:r w:rsidRPr="00D168C3">
        <w:rPr>
          <w:rFonts w:cs="Arial"/>
        </w:rPr>
        <w:t>Aufgrund der besonderen Gefährlichkeit der meisten Glücksspielformen sind insbesondere spezielle Anforderungen an die Zuverlässigkeit der Anbieter zu stellen, deren Überprüfung nicht nur von beigebrachten Unterlagen, sondern auch von der Behörde vorliegenden, von ihr erhobenen oder ihr zugegangenen Informationen abhängt, so dass eine abschließende Prüfung innerhalb eines Zeitraums von drei Monaten, wie in § 42a des Landesverwaltungsverfahrensgesetzes vorgesehen, nicht garantiert werden kann.</w:t>
      </w:r>
    </w:p>
    <w:p w14:paraId="68D95157" w14:textId="7412783B" w:rsidR="00F50311" w:rsidRPr="00D168C3" w:rsidRDefault="00F50311" w:rsidP="00AF188C">
      <w:pPr>
        <w:spacing w:after="0"/>
        <w:jc w:val="both"/>
        <w:rPr>
          <w:rFonts w:cs="Arial"/>
        </w:rPr>
      </w:pPr>
    </w:p>
    <w:p w14:paraId="039B526B" w14:textId="11E52797" w:rsidR="00F50311" w:rsidRPr="00D168C3" w:rsidRDefault="00F50311" w:rsidP="00AF188C">
      <w:pPr>
        <w:spacing w:after="0"/>
        <w:jc w:val="both"/>
        <w:rPr>
          <w:rFonts w:cs="Arial"/>
        </w:rPr>
      </w:pPr>
      <w:r w:rsidRPr="00D168C3">
        <w:rPr>
          <w:rFonts w:cs="Arial"/>
        </w:rPr>
        <w:t>Zu Nummer 2:</w:t>
      </w:r>
    </w:p>
    <w:p w14:paraId="1F2C73DF" w14:textId="2F5624FF" w:rsidR="00F50311" w:rsidRPr="00D168C3" w:rsidRDefault="00F50311" w:rsidP="00AF188C">
      <w:pPr>
        <w:spacing w:after="0"/>
        <w:jc w:val="both"/>
        <w:rPr>
          <w:rFonts w:cs="Arial"/>
        </w:rPr>
      </w:pPr>
      <w:r w:rsidRPr="00D168C3">
        <w:rPr>
          <w:rFonts w:cs="Arial"/>
        </w:rPr>
        <w:t xml:space="preserve">Im Rahmen des Beschlusses 3 B 245/22 SN hat das Verwaltungsgericht Schwerin aufgezeigt, dass § 9 des Glücksspielstaatsvertrages gemäß § 2 Absätze 3 und 4 des Glücksspielstaatsvertrages 2021 nicht für Spielhallen gilt. Gemäß § 2 Absatz 4 des Glücksspielstaatsvertrages 2021 ebenfalls vom Geltungsbereich des § 9 des Glücksspielstaatsvertrags ausgenommen sind Gaststätten und Wettannahmestellen der Buchmacher im Sinne von § 2 Absatz 4 des Glücksspielstaatsvertrages 2021. Das Verwaltungsgericht hält </w:t>
      </w:r>
      <w:r w:rsidR="00D129CB" w:rsidRPr="00D168C3">
        <w:rPr>
          <w:rFonts w:cs="Arial"/>
        </w:rPr>
        <w:t>des Weiteren</w:t>
      </w:r>
      <w:r w:rsidRPr="00D168C3">
        <w:rPr>
          <w:rFonts w:cs="Arial"/>
        </w:rPr>
        <w:t xml:space="preserve"> die Zuständigkeitsregelung in § 18 Absatz 4 nicht für eine adäquate landesrechtliche Ermächtigungsgrundlage für aufsichtsrechtliche Maßnahmen im Sinne des § 9 Absatz 1 des Glücksspielstaatsvertrags 2021 gegenüber den Betreibern von Spielhallen bzw. Gaststätten und Wettannahmestellen der Buchmacher. Ebenso hat es darauf hingewiesen, dass für entsprechende aufsichtsrechtliche Anordnungen gegenüber diesen Betreibern die aufschiebende Wirkung von Widerspruch und Klage nach § 9 </w:t>
      </w:r>
      <w:r w:rsidR="001E1039">
        <w:rPr>
          <w:rFonts w:cs="Arial"/>
        </w:rPr>
        <w:t xml:space="preserve">Absatz </w:t>
      </w:r>
      <w:r w:rsidRPr="00D168C3">
        <w:rPr>
          <w:rFonts w:cs="Arial"/>
        </w:rPr>
        <w:t xml:space="preserve">2 Satz 1 GlüStV 2021 nicht entfallen, weil diesbezüglich keine entsprechende Anwendung des § 9 </w:t>
      </w:r>
      <w:r w:rsidR="001E1039">
        <w:rPr>
          <w:rFonts w:cs="Arial"/>
        </w:rPr>
        <w:t xml:space="preserve">Absatz </w:t>
      </w:r>
      <w:r w:rsidRPr="00D168C3">
        <w:rPr>
          <w:rFonts w:cs="Arial"/>
        </w:rPr>
        <w:t>2 GlüStV 2021 geregelt sei.  Für einen wirkungsvollen Schutz der Ziele des Glücksspielstaatsvertrages sind die in § 9 Absätze 1 und 2 des Glücksspielstaatsvertrages 2021 enthaltenen Instrumente der Glücksspielaufsicht jedoch auch für die in § 10 des Glücksspielstaatsvertragsausführungsgesetz genannten Glücksspielangebote bedeutsam. Daher soll die entsprechende Regelungslücke geschlossen werden. Zusätzlich soll durch die Ergänzung der Befugnisse aus § 9 Absätze 3 und 3a des Glücksspielstaatsvertrags 2021 klarstellend auch die Befugnis zur Zusammenarbeit mit anderen Behörden für den Bereich der Spielhallen, Gaststätten und Wettannahmestellen der Buchmacher geregelt werden.</w:t>
      </w:r>
    </w:p>
    <w:p w14:paraId="429A170A" w14:textId="2C72C2EF" w:rsidR="00F50311" w:rsidRPr="00D168C3" w:rsidRDefault="00F50311" w:rsidP="00AF188C">
      <w:pPr>
        <w:spacing w:after="0"/>
        <w:jc w:val="both"/>
        <w:rPr>
          <w:rFonts w:cs="Arial"/>
        </w:rPr>
      </w:pPr>
    </w:p>
    <w:p w14:paraId="49AD1EAB" w14:textId="36F8B09C" w:rsidR="00F50311" w:rsidRPr="00D168C3" w:rsidRDefault="00F50311" w:rsidP="00AF188C">
      <w:pPr>
        <w:spacing w:after="0"/>
        <w:jc w:val="both"/>
        <w:rPr>
          <w:rFonts w:cs="Arial"/>
        </w:rPr>
      </w:pPr>
      <w:r w:rsidRPr="00D168C3">
        <w:rPr>
          <w:rFonts w:cs="Arial"/>
        </w:rPr>
        <w:t>Zu Nummer 3:</w:t>
      </w:r>
    </w:p>
    <w:p w14:paraId="7D9C269C" w14:textId="4DEEDD5B" w:rsidR="00F50311" w:rsidRPr="00D168C3" w:rsidRDefault="00F50311" w:rsidP="00AF188C">
      <w:pPr>
        <w:spacing w:after="0"/>
        <w:jc w:val="both"/>
        <w:rPr>
          <w:rFonts w:cs="Arial"/>
        </w:rPr>
      </w:pPr>
      <w:r w:rsidRPr="00D168C3">
        <w:rPr>
          <w:rFonts w:cs="Arial"/>
        </w:rPr>
        <w:t>Zur Durchsetzung der Verbote in § 9 Absätze 2 und 3 für Wettvermittlungsstellen und § 10 Absatz 3 für Spielhallen sowie der Sperrzeiten in § 12 sollen Verstöße unmittelbar als Ordnungswidrigkeiten geahndet werden können.</w:t>
      </w:r>
    </w:p>
    <w:p w14:paraId="1D743AC9" w14:textId="5785B648" w:rsidR="00F50311" w:rsidRDefault="00F50311" w:rsidP="00AF188C">
      <w:pPr>
        <w:spacing w:after="0"/>
        <w:jc w:val="both"/>
        <w:rPr>
          <w:rFonts w:cs="Arial"/>
        </w:rPr>
      </w:pPr>
    </w:p>
    <w:p w14:paraId="59B745BE" w14:textId="77777777" w:rsidR="00F50311" w:rsidRPr="00D168C3" w:rsidRDefault="00F50311" w:rsidP="00AF188C">
      <w:pPr>
        <w:pStyle w:val="Listenabsatz"/>
        <w:numPr>
          <w:ilvl w:val="0"/>
          <w:numId w:val="7"/>
        </w:numPr>
        <w:jc w:val="both"/>
        <w:rPr>
          <w:rFonts w:cs="Arial"/>
          <w:b/>
          <w:bCs/>
        </w:rPr>
      </w:pPr>
    </w:p>
    <w:p w14:paraId="312F4DE7" w14:textId="749AB65F" w:rsidR="00F50311" w:rsidRPr="00D168C3" w:rsidRDefault="00F50311" w:rsidP="00AF188C">
      <w:pPr>
        <w:spacing w:after="0"/>
        <w:jc w:val="both"/>
        <w:rPr>
          <w:rFonts w:cs="Arial"/>
        </w:rPr>
      </w:pPr>
      <w:r w:rsidRPr="00D168C3">
        <w:rPr>
          <w:rFonts w:cs="Arial"/>
        </w:rPr>
        <w:t>Zu Nummer 1 Buchstabe a:</w:t>
      </w:r>
    </w:p>
    <w:p w14:paraId="6B8712CB" w14:textId="6BC693B4" w:rsidR="00F50311" w:rsidRPr="00D168C3" w:rsidRDefault="00F50311" w:rsidP="00AF188C">
      <w:pPr>
        <w:jc w:val="both"/>
        <w:rPr>
          <w:rFonts w:cs="Arial"/>
        </w:rPr>
      </w:pPr>
      <w:r w:rsidRPr="00D168C3">
        <w:rPr>
          <w:rFonts w:cs="Arial"/>
        </w:rPr>
        <w:t>Die bisher vorgeschriebene Schriftform für die Antragstellung auf Erlaubnis zum Errichten und Betreiben von Spielbanken in Mecklenburg-Vorpommern entfällt. Diese Änderung dient dem Bürokratieabbau sowie der Digitalisierung der öffentlichen Verwaltung, da die Anforderung an die Schriftform (eigenhändige Unterschrift) nicht mehr zeitgemäß ist. Zudem ist die Einhaltung der Schriftform oft zeitaufwendiger und kostspieliger (Ausdrucken, Postversand, physische Archivierung).  Die Ersetzung durch die Textform oder elektronische Form soll Prozesse beschleunigen und in diesem Fall Kosten für den Antragstellenden senken.</w:t>
      </w:r>
    </w:p>
    <w:p w14:paraId="05FA0DCD" w14:textId="14AF4BE5" w:rsidR="00F50311" w:rsidRPr="00D168C3" w:rsidRDefault="00F50311" w:rsidP="00AF188C">
      <w:pPr>
        <w:spacing w:after="0"/>
        <w:jc w:val="both"/>
        <w:rPr>
          <w:rFonts w:cs="Arial"/>
        </w:rPr>
      </w:pPr>
      <w:r w:rsidRPr="00D168C3">
        <w:rPr>
          <w:rFonts w:cs="Arial"/>
        </w:rPr>
        <w:t>Zu Nummer 1 Buchstabe b:</w:t>
      </w:r>
    </w:p>
    <w:p w14:paraId="23FF53EE" w14:textId="4D4AF0DE" w:rsidR="00F50311" w:rsidRPr="00D168C3" w:rsidRDefault="00F50311" w:rsidP="00AF188C">
      <w:pPr>
        <w:spacing w:after="0"/>
        <w:jc w:val="both"/>
        <w:rPr>
          <w:rFonts w:cs="Arial"/>
        </w:rPr>
      </w:pPr>
      <w:r w:rsidRPr="00D168C3">
        <w:rPr>
          <w:rFonts w:cs="Arial"/>
        </w:rPr>
        <w:t xml:space="preserve">Aufgrund der Komplexität der im Erlaubnisverfahren </w:t>
      </w:r>
      <w:r w:rsidR="00D129CB" w:rsidRPr="00D168C3">
        <w:rPr>
          <w:rFonts w:cs="Arial"/>
        </w:rPr>
        <w:t xml:space="preserve">ressortübergreifend </w:t>
      </w:r>
      <w:r w:rsidRPr="00D168C3">
        <w:rPr>
          <w:rFonts w:cs="Arial"/>
        </w:rPr>
        <w:t>zu prüfenden Unterlagen kann eine abschließende Prüfung innerhalb eines Zeitraums von drei Monaten nicht gewährleistet werden. Es wird daher eine fachgesetzliche Ausnahmeregelung zu § 42a des Landesverwaltungsverfahrensgesetzes geschaffen.</w:t>
      </w:r>
    </w:p>
    <w:p w14:paraId="57297576" w14:textId="193E2F75" w:rsidR="00F50311" w:rsidRPr="00D168C3" w:rsidRDefault="00F50311" w:rsidP="00AF188C">
      <w:pPr>
        <w:spacing w:after="0"/>
        <w:jc w:val="both"/>
        <w:rPr>
          <w:rFonts w:cs="Arial"/>
        </w:rPr>
      </w:pPr>
    </w:p>
    <w:p w14:paraId="01AF4C70" w14:textId="5FB0F0A0" w:rsidR="00F50311" w:rsidRPr="00D168C3" w:rsidRDefault="00F50311" w:rsidP="00AF188C">
      <w:pPr>
        <w:spacing w:after="0"/>
        <w:jc w:val="both"/>
        <w:rPr>
          <w:rFonts w:cs="Arial"/>
        </w:rPr>
      </w:pPr>
      <w:r w:rsidRPr="00D168C3">
        <w:rPr>
          <w:rFonts w:cs="Arial"/>
        </w:rPr>
        <w:t>Zu Nummer 2</w:t>
      </w:r>
      <w:r w:rsidR="00022A2F" w:rsidRPr="00D168C3">
        <w:rPr>
          <w:rFonts w:cs="Arial"/>
        </w:rPr>
        <w:t xml:space="preserve"> Buchstabe a:</w:t>
      </w:r>
    </w:p>
    <w:p w14:paraId="220C07A3" w14:textId="5DC47650" w:rsidR="00022A2F" w:rsidRPr="00D168C3" w:rsidRDefault="00022A2F" w:rsidP="00AF188C">
      <w:pPr>
        <w:spacing w:after="0"/>
        <w:jc w:val="both"/>
        <w:rPr>
          <w:rFonts w:cs="Arial"/>
        </w:rPr>
      </w:pPr>
      <w:r w:rsidRPr="00D168C3">
        <w:rPr>
          <w:rFonts w:cs="Arial"/>
        </w:rPr>
        <w:t>Die bisher vorgeschriebene Schriftform für die Erteilung einer Spielbankerlaubnis entfällt. Diese Änderung dient dem Bürokratieabbau sowie der Digitalisierung der öffentlichen Verwaltung, da die Anforderung an die Schriftform (eigenhändige Unterschrift) nicht mehr zeitgemäß ist. Zudem ist die Einhaltung der Schriftform oft zeitaufwendiger und kostspieliger (Ausdrucken, Postversand, physische Archivierung).  Die Ersetzung durch die Textform oder elektronische Form soll Prozesse beschleunigen und Kosten senken.</w:t>
      </w:r>
    </w:p>
    <w:p w14:paraId="54FBCAB4" w14:textId="5290671E" w:rsidR="00022A2F" w:rsidRPr="00D168C3" w:rsidRDefault="00022A2F" w:rsidP="00AF188C">
      <w:pPr>
        <w:spacing w:after="0"/>
        <w:jc w:val="both"/>
        <w:rPr>
          <w:rFonts w:cs="Arial"/>
        </w:rPr>
      </w:pPr>
      <w:r w:rsidRPr="00D168C3">
        <w:rPr>
          <w:rFonts w:cs="Arial"/>
        </w:rPr>
        <w:t>Eine Verlängerung der Spielbankerlaubnis ist nicht mehr vorgesehen, sodass Satz 2 obsolet ist. Die Erlaubnis kann direkt für den nach Europarecht maximal zulässigen Zeitraum von 15 Jahren erteilt werden.</w:t>
      </w:r>
    </w:p>
    <w:p w14:paraId="42A5D30D" w14:textId="77777777" w:rsidR="00022A2F" w:rsidRPr="00D168C3" w:rsidRDefault="00022A2F" w:rsidP="00AF188C">
      <w:pPr>
        <w:spacing w:after="0"/>
        <w:jc w:val="both"/>
        <w:rPr>
          <w:rFonts w:cs="Arial"/>
        </w:rPr>
      </w:pPr>
    </w:p>
    <w:p w14:paraId="5DB2A15C" w14:textId="08D0C0AB" w:rsidR="00022A2F" w:rsidRPr="00D168C3" w:rsidRDefault="00022A2F" w:rsidP="00AF188C">
      <w:pPr>
        <w:spacing w:after="0"/>
        <w:jc w:val="both"/>
        <w:rPr>
          <w:rFonts w:cs="Arial"/>
        </w:rPr>
      </w:pPr>
      <w:r w:rsidRPr="00D168C3">
        <w:rPr>
          <w:rFonts w:cs="Arial"/>
        </w:rPr>
        <w:t>Zu Nummer 2 Buchstabe b:</w:t>
      </w:r>
    </w:p>
    <w:p w14:paraId="4B7C20A2" w14:textId="20C12D44" w:rsidR="00022A2F" w:rsidRPr="00D168C3" w:rsidRDefault="00022A2F" w:rsidP="00AF188C">
      <w:pPr>
        <w:spacing w:after="0"/>
        <w:jc w:val="both"/>
        <w:rPr>
          <w:rFonts w:cs="Arial"/>
        </w:rPr>
      </w:pPr>
      <w:r w:rsidRPr="00D168C3">
        <w:rPr>
          <w:rFonts w:cs="Arial"/>
        </w:rPr>
        <w:t>Im neu gefassten Satz 2 bleiben die Voraussetzungen für die gebundene Entscheidung bestehen. Es wird eine Genehmigungsfiktion mit Vollständigkeitsfiktion ergänzt. Diese gibt den Spielbanken die Möglichkeit, betriebsinterne Entscheidungen kurzfristig umzusetzen. Dennoch kann durch die Erlaubnisbehörde innerhalb einer Frist von einem Monat das Fehlen entscheidungserheblicher Unterlagen geltend gemacht oder die Ablehnung der Erlaubnis erfolgen. Somit bleibt die Aufsicht über die Spielbanken in gleichem Umfang gewährleistet. Der administrative Aufwand wird insgesamt minimiert und Verzögerungen in der Umsetzung vertretungsrechtlicher Maßnahmen durch Verwaltungsverfahren verhindert.</w:t>
      </w:r>
    </w:p>
    <w:p w14:paraId="2DF25FF2" w14:textId="4657A360" w:rsidR="00022A2F" w:rsidRPr="00D168C3" w:rsidRDefault="00022A2F" w:rsidP="00AF188C">
      <w:pPr>
        <w:spacing w:after="0"/>
        <w:jc w:val="both"/>
        <w:rPr>
          <w:rFonts w:cs="Arial"/>
        </w:rPr>
      </w:pPr>
    </w:p>
    <w:p w14:paraId="4829A52E" w14:textId="692A2BC4" w:rsidR="00022A2F" w:rsidRPr="00D168C3" w:rsidRDefault="00022A2F" w:rsidP="00AF188C">
      <w:pPr>
        <w:spacing w:after="0"/>
        <w:jc w:val="both"/>
        <w:rPr>
          <w:rFonts w:cs="Arial"/>
        </w:rPr>
      </w:pPr>
      <w:r w:rsidRPr="00D168C3">
        <w:rPr>
          <w:rFonts w:cs="Arial"/>
        </w:rPr>
        <w:t>Zu Nummer 3:</w:t>
      </w:r>
    </w:p>
    <w:p w14:paraId="11DDE17C" w14:textId="5EF5E04E" w:rsidR="00022A2F" w:rsidRPr="00D168C3" w:rsidRDefault="00022A2F" w:rsidP="00AF188C">
      <w:pPr>
        <w:spacing w:after="0"/>
        <w:jc w:val="both"/>
        <w:rPr>
          <w:rFonts w:cs="Arial"/>
        </w:rPr>
      </w:pPr>
      <w:r w:rsidRPr="00D168C3">
        <w:rPr>
          <w:rFonts w:cs="Arial"/>
        </w:rPr>
        <w:t xml:space="preserve">Das Schriftformerfordernis bei der Anmeldung der Bruttospielerträge, der Zusatzabgabe und der Ausgleichsabgabe beim zuständigen Finanzamt muss abweichend von der nach § 3a des Verwaltungsverfahrens-, Zustellungs- und Vollstreckungsgesetz des Landes Mecklenburg-Vorpommern vorgeschriebenen Textform fachgesetzlich beibehalten werden, </w:t>
      </w:r>
      <w:r w:rsidR="00D129CB" w:rsidRPr="00D168C3">
        <w:rPr>
          <w:rFonts w:cs="Arial"/>
        </w:rPr>
        <w:t>aufgrund von Vorgaben gemäß der Abgabenord</w:t>
      </w:r>
      <w:r w:rsidR="001E529E">
        <w:rPr>
          <w:rFonts w:cs="Arial"/>
        </w:rPr>
        <w:t>n</w:t>
      </w:r>
      <w:r w:rsidR="00D129CB" w:rsidRPr="00D168C3">
        <w:rPr>
          <w:rFonts w:cs="Arial"/>
        </w:rPr>
        <w:t>ung.</w:t>
      </w:r>
    </w:p>
    <w:p w14:paraId="33813296" w14:textId="7E7E8020" w:rsidR="00022A2F" w:rsidRPr="00D168C3" w:rsidRDefault="00022A2F" w:rsidP="00AF188C">
      <w:pPr>
        <w:spacing w:after="0"/>
        <w:jc w:val="both"/>
        <w:rPr>
          <w:rFonts w:cs="Arial"/>
        </w:rPr>
      </w:pPr>
    </w:p>
    <w:p w14:paraId="56065172" w14:textId="641A1C9C" w:rsidR="00022A2F" w:rsidRPr="00D168C3" w:rsidRDefault="00022A2F" w:rsidP="00AF188C">
      <w:pPr>
        <w:spacing w:after="0"/>
        <w:jc w:val="both"/>
        <w:rPr>
          <w:rFonts w:cs="Arial"/>
        </w:rPr>
      </w:pPr>
      <w:r w:rsidRPr="00D168C3">
        <w:rPr>
          <w:rFonts w:cs="Arial"/>
        </w:rPr>
        <w:t>Zu Nummer 4:</w:t>
      </w:r>
    </w:p>
    <w:p w14:paraId="2B237943" w14:textId="16D62680" w:rsidR="00022A2F" w:rsidRPr="00D168C3" w:rsidRDefault="00022A2F" w:rsidP="00AF188C">
      <w:pPr>
        <w:spacing w:after="0"/>
        <w:jc w:val="both"/>
        <w:rPr>
          <w:rFonts w:cs="Arial"/>
        </w:rPr>
      </w:pPr>
      <w:r w:rsidRPr="00D168C3">
        <w:rPr>
          <w:rFonts w:cs="Arial"/>
        </w:rPr>
        <w:t xml:space="preserve">In § 16 wird Absatz 1 dahingehend neu gefasst, dass die Änderungen in § 6 </w:t>
      </w:r>
      <w:r w:rsidR="001E1039">
        <w:rPr>
          <w:rFonts w:cs="Arial"/>
        </w:rPr>
        <w:t xml:space="preserve">Absatz </w:t>
      </w:r>
      <w:r w:rsidRPr="00D168C3">
        <w:rPr>
          <w:rFonts w:cs="Arial"/>
        </w:rPr>
        <w:t>1 für den aktuellen Konzessionär noch nicht gelten. § 16 Absatz 2 ist entbehrlich und kann gestrichen werden.</w:t>
      </w:r>
    </w:p>
    <w:p w14:paraId="5266B9A9" w14:textId="77777777" w:rsidR="00022A2F" w:rsidRPr="00D168C3" w:rsidRDefault="00022A2F" w:rsidP="00AF188C">
      <w:pPr>
        <w:pStyle w:val="Listenabsatz"/>
        <w:numPr>
          <w:ilvl w:val="0"/>
          <w:numId w:val="7"/>
        </w:numPr>
        <w:jc w:val="both"/>
        <w:rPr>
          <w:rFonts w:cs="Arial"/>
          <w:b/>
          <w:bCs/>
        </w:rPr>
      </w:pPr>
    </w:p>
    <w:p w14:paraId="6228F256" w14:textId="3E4AB9DC" w:rsidR="00022A2F" w:rsidRPr="00D168C3" w:rsidRDefault="00022A2F" w:rsidP="00AF188C">
      <w:pPr>
        <w:spacing w:after="0"/>
        <w:jc w:val="both"/>
        <w:rPr>
          <w:rFonts w:cs="Arial"/>
        </w:rPr>
      </w:pPr>
      <w:r w:rsidRPr="00D168C3">
        <w:rPr>
          <w:rFonts w:cs="Arial"/>
        </w:rPr>
        <w:t>Zu Nummer 2:</w:t>
      </w:r>
    </w:p>
    <w:p w14:paraId="4E44E685" w14:textId="308FCA80" w:rsidR="00022A2F" w:rsidRPr="00D168C3" w:rsidRDefault="00022A2F" w:rsidP="00AF188C">
      <w:pPr>
        <w:spacing w:after="0"/>
        <w:jc w:val="both"/>
        <w:rPr>
          <w:rFonts w:cs="Arial"/>
        </w:rPr>
      </w:pPr>
      <w:r w:rsidRPr="00D168C3">
        <w:rPr>
          <w:rFonts w:cs="Arial"/>
        </w:rPr>
        <w:t xml:space="preserve">Mit dem neuen Absatz wird klargestellt, dass das Volksabstimmungsgesetz, wie auch das Landes- und Kommunalwahlgesetz, nicht zum Bereich des Verwaltungsverfahrensrechts gehört. Es handelt sich beim Volksabstimmungsrecht wie auch beim Wahlrecht nicht um Verwaltungsverfahren, sondern um Organisationsrecht eigener Art, das unmittelbar auf Verfassungsrecht zurückgeht. Damit findet § 3a des Verwaltungsverfahrensgesetzes, der für angeordnete Schriftform die Textform (also ohne handschriftliche Unterschrift) ausreichen lässt, auf dieses Gesetz und die dazu ergangene Verordnung keine Anwendung. Damit ist in § 7 </w:t>
      </w:r>
      <w:r w:rsidR="001E1039">
        <w:rPr>
          <w:rFonts w:cs="Arial"/>
        </w:rPr>
        <w:t xml:space="preserve">Absatz </w:t>
      </w:r>
      <w:r w:rsidRPr="00D168C3">
        <w:rPr>
          <w:rFonts w:cs="Arial"/>
        </w:rPr>
        <w:t xml:space="preserve">1 Satz 2 Nummer 1 und 2 sowie in § 13 </w:t>
      </w:r>
      <w:r w:rsidR="001E1039">
        <w:rPr>
          <w:rFonts w:cs="Arial"/>
        </w:rPr>
        <w:t xml:space="preserve">Absatz </w:t>
      </w:r>
      <w:r w:rsidRPr="00D168C3">
        <w:rPr>
          <w:rFonts w:cs="Arial"/>
        </w:rPr>
        <w:t>1 Satz 2 Nummer 1 und 2 weiterhin die Schriftform erforderlich, ohne dass diese auf die Textform reduziert würde.</w:t>
      </w:r>
    </w:p>
    <w:p w14:paraId="1E69EA48" w14:textId="41C30A35" w:rsidR="00022A2F" w:rsidRPr="00D168C3" w:rsidRDefault="00022A2F" w:rsidP="00AF188C">
      <w:pPr>
        <w:spacing w:after="0"/>
        <w:jc w:val="both"/>
        <w:rPr>
          <w:rFonts w:cs="Arial"/>
        </w:rPr>
      </w:pPr>
    </w:p>
    <w:p w14:paraId="726B6EBD" w14:textId="5EB39F80" w:rsidR="00022A2F" w:rsidRPr="00D168C3" w:rsidRDefault="00022A2F" w:rsidP="00AF188C">
      <w:pPr>
        <w:spacing w:after="0"/>
        <w:jc w:val="both"/>
        <w:rPr>
          <w:rFonts w:cs="Arial"/>
        </w:rPr>
      </w:pPr>
      <w:r w:rsidRPr="00D168C3">
        <w:rPr>
          <w:rFonts w:cs="Arial"/>
        </w:rPr>
        <w:t>Zu Nummer 3:</w:t>
      </w:r>
    </w:p>
    <w:p w14:paraId="5D4E24C5" w14:textId="7BD08F23" w:rsidR="00F50311" w:rsidRPr="00D168C3" w:rsidRDefault="00022A2F" w:rsidP="00AF188C">
      <w:pPr>
        <w:jc w:val="both"/>
        <w:rPr>
          <w:rFonts w:cs="Arial"/>
        </w:rPr>
      </w:pPr>
      <w:r w:rsidRPr="00D168C3">
        <w:rPr>
          <w:rFonts w:cs="Arial"/>
        </w:rPr>
        <w:t>Der Beginn der freien Unterschriftensammlung im Rahmen eines Volksbegehrens war bislang schriftlich anzuzeigen. Zur Verfahrensvereinfachung wird durch die Änderung das Schriftformerfordernis durch die Textform ersetzt.</w:t>
      </w:r>
    </w:p>
    <w:p w14:paraId="0B10190B" w14:textId="7CDD67A2" w:rsidR="00022A2F" w:rsidRPr="00D168C3" w:rsidRDefault="00022A2F" w:rsidP="00AF188C">
      <w:pPr>
        <w:spacing w:after="0"/>
        <w:jc w:val="both"/>
        <w:rPr>
          <w:rFonts w:cs="Arial"/>
        </w:rPr>
      </w:pPr>
      <w:r w:rsidRPr="00D168C3">
        <w:rPr>
          <w:rFonts w:cs="Arial"/>
        </w:rPr>
        <w:t>Zu Nummer 4:</w:t>
      </w:r>
    </w:p>
    <w:p w14:paraId="54DDB294" w14:textId="353B31A9" w:rsidR="00022A2F" w:rsidRPr="00D168C3" w:rsidRDefault="00022A2F" w:rsidP="00AF188C">
      <w:pPr>
        <w:jc w:val="both"/>
        <w:rPr>
          <w:rFonts w:cs="Arial"/>
        </w:rPr>
      </w:pPr>
      <w:r w:rsidRPr="00D168C3">
        <w:rPr>
          <w:rFonts w:cs="Arial"/>
        </w:rPr>
        <w:t>Einsprüche gegen die Feststellungsentscheidung eines Volksentscheides waren bislang schriftlich zu erheben. Zur Verfahrensvereinfachung wird durch die Änderung das Schriftformerfordernis durch die Textform ersetzt.</w:t>
      </w:r>
    </w:p>
    <w:p w14:paraId="1F0A7657" w14:textId="77777777" w:rsidR="00022A2F" w:rsidRPr="00D168C3" w:rsidRDefault="00022A2F" w:rsidP="00AF188C">
      <w:pPr>
        <w:pStyle w:val="Listenabsatz"/>
        <w:numPr>
          <w:ilvl w:val="0"/>
          <w:numId w:val="7"/>
        </w:numPr>
        <w:jc w:val="both"/>
        <w:rPr>
          <w:rFonts w:cs="Arial"/>
          <w:b/>
          <w:bCs/>
        </w:rPr>
      </w:pPr>
    </w:p>
    <w:p w14:paraId="0A6E81CC" w14:textId="30BEFEE5" w:rsidR="00022A2F" w:rsidRPr="00D168C3" w:rsidRDefault="00022A2F" w:rsidP="00AF188C">
      <w:pPr>
        <w:spacing w:after="0"/>
        <w:jc w:val="both"/>
        <w:rPr>
          <w:rFonts w:cs="Arial"/>
        </w:rPr>
      </w:pPr>
      <w:r w:rsidRPr="00847AB7">
        <w:rPr>
          <w:rFonts w:cs="Arial"/>
        </w:rPr>
        <w:t>Zu Nummer 2 Buchstabe a:</w:t>
      </w:r>
    </w:p>
    <w:p w14:paraId="056B0110" w14:textId="691E5B2C" w:rsidR="0010068D" w:rsidRPr="00D168C3" w:rsidRDefault="0010068D" w:rsidP="00AF188C">
      <w:pPr>
        <w:jc w:val="both"/>
        <w:rPr>
          <w:rFonts w:cs="Arial"/>
        </w:rPr>
      </w:pPr>
      <w:r w:rsidRPr="00D168C3">
        <w:rPr>
          <w:rFonts w:cs="Arial"/>
        </w:rPr>
        <w:t>Durch die Einfügung eines neuen Absatzes 4 wird klargestellt, dass für Verfahren nach diesem Gesetz sowie nach den aufgrund dieses Gesetzes erlassenen Rechtsvorschriften das Verwaltungsverfahrensgesetz keine Anwendung findet. Die Regelung dient der Abgrenzung des Anwendungsbereichs des allgemeinen Verwaltungsverfahrensrechts und trägt dem besonderen Charakter der in diesem Gesetz geregelten Verfahren Rechnung, die eigenständigen verfahrensrechtlichen Grundsätzen folgen. Aufgrund der Aufnahme dieser verfahrensrechtlichen Bestimmung wird der Regelungsgehalt der Vorschrift erweitert. Die bisherige Überschrift („Wahlgrundsätze, Wahlperiode, Anfechtung“) erfasst den nunmehr geregelten Inhalt nicht mehr vollständig. Zur zutreffenden Abbildung des erweiterten Norminhalts und zur Wahrung der Normenklarheit wird die Überschrift daher um den Begriff „Verfahren“ ergänzt. Eine inhaltliche Änderung der bisherigen Absätze ist mit der Anpassung der Überschrift nicht verbunden.</w:t>
      </w:r>
    </w:p>
    <w:p w14:paraId="64ADC8CA" w14:textId="3BBBA78F" w:rsidR="00022A2F" w:rsidRPr="00D168C3" w:rsidRDefault="00022A2F" w:rsidP="00AF188C">
      <w:pPr>
        <w:spacing w:after="0"/>
        <w:jc w:val="both"/>
        <w:rPr>
          <w:rFonts w:cs="Arial"/>
        </w:rPr>
      </w:pPr>
      <w:r w:rsidRPr="00D168C3">
        <w:rPr>
          <w:rFonts w:cs="Arial"/>
        </w:rPr>
        <w:t>Zu Nummer 2 Buchstabe b:</w:t>
      </w:r>
    </w:p>
    <w:p w14:paraId="41F53A8D" w14:textId="5CA1F482" w:rsidR="00022A2F" w:rsidRPr="00D168C3" w:rsidRDefault="00022A2F" w:rsidP="00AF188C">
      <w:pPr>
        <w:spacing w:after="0"/>
        <w:jc w:val="both"/>
        <w:rPr>
          <w:rFonts w:cs="Arial"/>
        </w:rPr>
      </w:pPr>
      <w:r w:rsidRPr="00D168C3">
        <w:rPr>
          <w:rFonts w:cs="Arial"/>
        </w:rPr>
        <w:t>Beim Wahlrecht handelt es sich um die Selbstorganisation des Wahlvolkes, für die neben der Verfassung ausschließlich die Regeln des Wahlrechts maßgeblich sind. Alle Tätigkeiten der Wahlorgane sind für die Wahldurchführung wesentliche und damit untrennbare Teile des Wahlverfahrens. Das Landesverwaltungsverfahrensgesetz und die Verwaltungsgerichtsordnung sind nur dort anwendbar, wo dies ausdrücklich geregelt ist (vergleiche auch § 2 Absatz 3).</w:t>
      </w:r>
    </w:p>
    <w:p w14:paraId="4C2E10AB" w14:textId="1E424A1D" w:rsidR="00022A2F" w:rsidRPr="00D168C3" w:rsidRDefault="00022A2F" w:rsidP="00AF188C">
      <w:pPr>
        <w:spacing w:after="0"/>
        <w:jc w:val="both"/>
        <w:rPr>
          <w:rFonts w:cs="Arial"/>
        </w:rPr>
      </w:pPr>
    </w:p>
    <w:p w14:paraId="7021F3C7" w14:textId="047E3086" w:rsidR="00022A2F" w:rsidRPr="00D168C3" w:rsidRDefault="00022A2F" w:rsidP="00AF188C">
      <w:pPr>
        <w:spacing w:after="0"/>
        <w:jc w:val="both"/>
        <w:rPr>
          <w:rFonts w:cs="Arial"/>
        </w:rPr>
      </w:pPr>
      <w:r w:rsidRPr="00D168C3">
        <w:rPr>
          <w:rFonts w:cs="Arial"/>
        </w:rPr>
        <w:t>Zu Nummer 3:</w:t>
      </w:r>
    </w:p>
    <w:p w14:paraId="438CFC80" w14:textId="1C7DF285" w:rsidR="00022A2F" w:rsidRPr="00D168C3" w:rsidRDefault="00022A2F" w:rsidP="00AF188C">
      <w:pPr>
        <w:spacing w:after="0"/>
        <w:jc w:val="both"/>
        <w:rPr>
          <w:rFonts w:cs="Arial"/>
        </w:rPr>
      </w:pPr>
      <w:r w:rsidRPr="00D168C3">
        <w:rPr>
          <w:rFonts w:cs="Arial"/>
        </w:rPr>
        <w:t xml:space="preserve">Die Öffnung der Wahllokale von 9 bis 17 Uhr wurde durch zahlreiche Gemeinden im Rahmen des kommunalen Standarderprobungsgesetzes erfolgreich durchgeführt. Diese Verkürzung </w:t>
      </w:r>
      <w:r w:rsidRPr="00D168C3">
        <w:rPr>
          <w:rFonts w:cs="Arial"/>
        </w:rPr>
        <w:lastRenderedPageBreak/>
        <w:t xml:space="preserve">der Wahlzeit um zwei Stunden hilft bei der Gewinnung ehrenamtlicher Wahlhelfender und führt zu einem früheren Ende der Auszählung der Stimmzettel. Sie wird daher als Möglichkeit in eine allgemeine wahlrechtliche Regelung überführt. </w:t>
      </w:r>
    </w:p>
    <w:p w14:paraId="12BFA4FA" w14:textId="77777777" w:rsidR="00022A2F" w:rsidRPr="00D168C3" w:rsidRDefault="00022A2F" w:rsidP="00AF188C">
      <w:pPr>
        <w:spacing w:after="0"/>
        <w:jc w:val="both"/>
        <w:rPr>
          <w:rFonts w:cs="Arial"/>
        </w:rPr>
      </w:pPr>
      <w:r w:rsidRPr="00D168C3">
        <w:rPr>
          <w:rFonts w:cs="Arial"/>
        </w:rPr>
        <w:t xml:space="preserve">Die Ermächtigung zur Verkürzung der Wahlzeit gilt nicht für Wahlen, die mit einer Bundestagswahl oder Europawahl verbunden sind. Sie kann damit insbesondere für Landtagswahlen, Stichwahlen nach landesweiten Kommunalwahlen und für die Wahlen der Landrätinnen und Landräte sowie der hauptamtlichen Bürgermeisterinnen und Bürgermeister genutzt werden. Daneben kann sie auch bei Wahlen ehrenamtlicher Bürgermeisterinnen und Bürgermeister, die zwischen den allgemeinen Kommunalwahlen erforderlich werden, sowie bei Nach- und Ergänzungswahlen Anwendung finden. Auch die Verbindung mehrerer Wahlen kann mit Wahlzeitverkürzung stattfinden. Dies wäre etwa möglich, wenn in einer Gemeinde am Tag der Landtagswahl oder einer Landratswahl auch eine Bürgermeisterwahl stattfindet. </w:t>
      </w:r>
    </w:p>
    <w:p w14:paraId="78182F76" w14:textId="26C06CFF" w:rsidR="00022A2F" w:rsidRPr="00D168C3" w:rsidRDefault="00022A2F" w:rsidP="00AF188C">
      <w:pPr>
        <w:spacing w:after="0"/>
        <w:jc w:val="both"/>
        <w:rPr>
          <w:rFonts w:cs="Arial"/>
        </w:rPr>
      </w:pPr>
      <w:r w:rsidRPr="00D168C3">
        <w:rPr>
          <w:rFonts w:cs="Arial"/>
        </w:rPr>
        <w:t>Die Entscheidung über die Verkürzung der Wahlzeit trifft diejenige Stelle, die nach § 3 Absatz 2 und 3 LKWG den Wahltag festlegt. Bei verbundenen Wahlen hat die Entscheidung, die für das größere Wahlgebiet getroffen wird, Bindungswirkung für alle weiteren Wahlen. In gleicher Weise ist auch der Verzicht auf die Verkürzung der Wahlzeit in dem größeren Wahlgebiet für die verbundenen kommunalen Wahlen verbindlich. Beispiele: Wenn für die Landtagswahl die Wahlzeit verkürzt wird, gilt dies ohne gesonderte Entscheidung der Gemeindevertretungen auch für verbundene kommunale Wahlen. Wenn für die Landratswahl der Landkreis keine Verkürzung der Wahlzeit beschließt, kann diese auch in der Gemeindevertretung für die verbundene Ergänzungswahl zur Gemeindevertretung nicht beschlossen werden.</w:t>
      </w:r>
    </w:p>
    <w:p w14:paraId="3F224283" w14:textId="3CB75874" w:rsidR="00022A2F" w:rsidRPr="00D168C3" w:rsidRDefault="00022A2F" w:rsidP="00AF188C">
      <w:pPr>
        <w:spacing w:after="0"/>
        <w:jc w:val="both"/>
        <w:rPr>
          <w:rFonts w:cs="Arial"/>
        </w:rPr>
      </w:pPr>
      <w:r w:rsidRPr="00D168C3">
        <w:rPr>
          <w:rFonts w:cs="Arial"/>
        </w:rPr>
        <w:t>Zu Nummer 4:</w:t>
      </w:r>
    </w:p>
    <w:p w14:paraId="60C920CC" w14:textId="2D0EE4F0" w:rsidR="00022A2F" w:rsidRPr="00D168C3" w:rsidRDefault="00022A2F" w:rsidP="00AF188C">
      <w:pPr>
        <w:spacing w:after="0"/>
        <w:jc w:val="both"/>
        <w:rPr>
          <w:rFonts w:cs="Arial"/>
        </w:rPr>
      </w:pPr>
      <w:r w:rsidRPr="00D168C3">
        <w:rPr>
          <w:rFonts w:cs="Arial"/>
        </w:rPr>
        <w:t xml:space="preserve">Einsprüche gegen die Gültigkeit einer Wahl waren bislang schriftlich zu erheben. Zur Verfahrensvereinfachung wird durch die Änderung das Schriftformerfordernis durch die Textform ersetzt. Die Möglichkeit zur Einlegung zur Niederschrift bei der Wahlleitung bleibt trotz dieser Absenkung der Anforderungen erhalten, da ein Wahleinspruch allen Wahlberechtigten unabhängig von ihrem schriftlichen Ausdrucksvermögen bzw. ihrem Zugang zu den in Betracht kommenden Kommunikationsformen erhalten bleiben soll.  </w:t>
      </w:r>
    </w:p>
    <w:p w14:paraId="2F71A1F2" w14:textId="355E988B" w:rsidR="00022A2F" w:rsidRPr="00D168C3" w:rsidRDefault="00022A2F" w:rsidP="00AF188C">
      <w:pPr>
        <w:spacing w:after="0"/>
        <w:jc w:val="both"/>
        <w:rPr>
          <w:rFonts w:cs="Arial"/>
        </w:rPr>
      </w:pPr>
    </w:p>
    <w:p w14:paraId="090EE39B" w14:textId="1E853B67" w:rsidR="00022A2F" w:rsidRPr="00D168C3" w:rsidRDefault="00022A2F" w:rsidP="00AF188C">
      <w:pPr>
        <w:spacing w:after="0"/>
        <w:jc w:val="both"/>
        <w:rPr>
          <w:rFonts w:cs="Arial"/>
        </w:rPr>
      </w:pPr>
      <w:r w:rsidRPr="00D168C3">
        <w:rPr>
          <w:rFonts w:cs="Arial"/>
        </w:rPr>
        <w:t>Zu Nummer 5:</w:t>
      </w:r>
    </w:p>
    <w:p w14:paraId="7844A84B" w14:textId="38DCDEE9" w:rsidR="00022A2F" w:rsidRPr="00D168C3" w:rsidRDefault="00022A2F" w:rsidP="00AF188C">
      <w:pPr>
        <w:spacing w:after="0"/>
        <w:jc w:val="both"/>
        <w:rPr>
          <w:rFonts w:cs="Arial"/>
        </w:rPr>
      </w:pPr>
      <w:r w:rsidRPr="00D168C3">
        <w:rPr>
          <w:rFonts w:cs="Arial"/>
        </w:rPr>
        <w:t>Das Formerfordernis der Schriftlichkeit für die Beantragung staatlicher Mittel bei der Präsidentin oder dem Präsidenten des Landtages durch Einzelbewerbende bei Landtagswahlen, die nach dem endgültigen Ergebnis der Landtagswahl mindestens zehn Prozent der in einem Wahlkreis abgegebenen gültigen Stimmen erreicht haben, wird aufgegeben. Zur Verfahrensvereinfachung wird durch die Änderung das Schriftformerfordernis durch die Textform ersetzt.</w:t>
      </w:r>
    </w:p>
    <w:p w14:paraId="0C60544F" w14:textId="668F0EFF" w:rsidR="00022A2F" w:rsidRPr="00D168C3" w:rsidRDefault="00022A2F" w:rsidP="00AF188C">
      <w:pPr>
        <w:spacing w:after="0"/>
        <w:jc w:val="both"/>
        <w:rPr>
          <w:rFonts w:cs="Arial"/>
        </w:rPr>
      </w:pPr>
    </w:p>
    <w:p w14:paraId="238DC8CE" w14:textId="39B51851" w:rsidR="00022A2F" w:rsidRPr="00D168C3" w:rsidRDefault="00022A2F" w:rsidP="00AF188C">
      <w:pPr>
        <w:spacing w:after="0"/>
        <w:jc w:val="both"/>
        <w:rPr>
          <w:rFonts w:cs="Arial"/>
        </w:rPr>
      </w:pPr>
      <w:r w:rsidRPr="00D168C3">
        <w:rPr>
          <w:rFonts w:cs="Arial"/>
        </w:rPr>
        <w:t>Zu Nummer 6:</w:t>
      </w:r>
    </w:p>
    <w:p w14:paraId="6A5C7899" w14:textId="77777777" w:rsidR="00022A2F" w:rsidRPr="00D168C3" w:rsidRDefault="00022A2F" w:rsidP="00AF188C">
      <w:pPr>
        <w:spacing w:after="0"/>
        <w:jc w:val="both"/>
        <w:rPr>
          <w:rFonts w:cs="Arial"/>
        </w:rPr>
      </w:pPr>
      <w:r w:rsidRPr="00D168C3">
        <w:rPr>
          <w:rFonts w:cs="Arial"/>
        </w:rPr>
        <w:t xml:space="preserve">Zur Erprobung neuer Formen der Vorbereitung und Durchführung von Wahlen wird eine Experimentierklausel in das Wahlrecht aufgenommen, die nach dem Auslaufen der Geltung des kommunalen Standarderprobungsgesetzes (siehe Artikel Inkrafttreten Absatz x) für den Bereich des Wahlrechts dessen Funktion übernimmt. In Anlehnung an das Antragsverfahren nach dem kommunalen Standarderprobungsgesetz wird ein Verfahren geschaffen, das die Erprobung einzelner Abweichungen von wahlrechtlichen Vorgaben ermöglicht. Dabei finden diese Abweichungen ihre Grenze nicht, wie im kommunalen Standarderprobungsgesetz, in einer möglichen Gefahr für Leib oder Leben der betroffenen Bürgerinnen und Bürger, sondern die Einhaltung der verfassungsrechtlich vorgegebenen Wahlrechtsgrundsätze steht im Mittelpunkt der Prüfung. Die nach der künftigen Neuregelung erteilten Befreiungen sind durch die Wahlleitungen in den betroffenen Bereichen nach § 5 Landes- und Kommunalwahlordnung </w:t>
      </w:r>
      <w:r w:rsidRPr="00D168C3">
        <w:rPr>
          <w:rFonts w:cs="Arial"/>
        </w:rPr>
        <w:lastRenderedPageBreak/>
        <w:t>öffentlich bekannt zu machen. Diese Experimentierklausel könnte etwa folgenden, hier nicht abschließend genannten Zielen dienen, wenn es ein lokales Bedürfnis dafür gibt und die oben genannten Voraussetzungen gegeben sind, also insbesondere die Einhaltung der Wahlrechtsgrundsätze gewährleistet ist:</w:t>
      </w:r>
    </w:p>
    <w:p w14:paraId="3FE0E2E7" w14:textId="01B555BF" w:rsidR="00022A2F" w:rsidRPr="00D168C3" w:rsidRDefault="00022A2F" w:rsidP="00AF188C">
      <w:pPr>
        <w:pStyle w:val="Listenabsatz"/>
        <w:numPr>
          <w:ilvl w:val="0"/>
          <w:numId w:val="8"/>
        </w:numPr>
        <w:spacing w:after="0"/>
        <w:jc w:val="both"/>
        <w:rPr>
          <w:rFonts w:cs="Arial"/>
        </w:rPr>
      </w:pPr>
      <w:r w:rsidRPr="00D168C3">
        <w:rPr>
          <w:rFonts w:cs="Arial"/>
        </w:rPr>
        <w:t>Eine Wahl wird nicht am Sonntag, sondern an einem anderen Wochentag durchgeführt.</w:t>
      </w:r>
    </w:p>
    <w:p w14:paraId="57255A78" w14:textId="32A3F7C4" w:rsidR="00022A2F" w:rsidRPr="00D168C3" w:rsidRDefault="00022A2F" w:rsidP="00AF188C">
      <w:pPr>
        <w:pStyle w:val="Listenabsatz"/>
        <w:numPr>
          <w:ilvl w:val="0"/>
          <w:numId w:val="8"/>
        </w:numPr>
        <w:spacing w:after="0"/>
        <w:jc w:val="both"/>
        <w:rPr>
          <w:rFonts w:cs="Arial"/>
        </w:rPr>
      </w:pPr>
      <w:r w:rsidRPr="00D168C3">
        <w:rPr>
          <w:rFonts w:cs="Arial"/>
        </w:rPr>
        <w:t>Eine Wahl wird als reine Briefwahl durchgeführt.</w:t>
      </w:r>
    </w:p>
    <w:p w14:paraId="6FEEA732" w14:textId="77777777" w:rsidR="00022A2F" w:rsidRPr="00D168C3" w:rsidRDefault="00022A2F" w:rsidP="00AF188C">
      <w:pPr>
        <w:pStyle w:val="Listenabsatz"/>
        <w:numPr>
          <w:ilvl w:val="0"/>
          <w:numId w:val="8"/>
        </w:numPr>
        <w:spacing w:after="0"/>
        <w:jc w:val="both"/>
        <w:rPr>
          <w:rFonts w:cs="Arial"/>
        </w:rPr>
      </w:pPr>
      <w:r w:rsidRPr="00D168C3">
        <w:rPr>
          <w:rFonts w:cs="Arial"/>
        </w:rPr>
        <w:t>Bei einer Bürgermeisterwahl wird der Stichwahltermin durch eine integrierte Stichwahl vermieden, ohne dass dabei vom Erfordernis der absoluten Mehrheit abgerückt würde.</w:t>
      </w:r>
    </w:p>
    <w:p w14:paraId="32BC7F2E" w14:textId="36302455" w:rsidR="00022A2F" w:rsidRPr="00D168C3" w:rsidRDefault="00022A2F" w:rsidP="00AF188C">
      <w:pPr>
        <w:pStyle w:val="Listenabsatz"/>
        <w:numPr>
          <w:ilvl w:val="0"/>
          <w:numId w:val="8"/>
        </w:numPr>
        <w:spacing w:after="0"/>
        <w:jc w:val="both"/>
        <w:rPr>
          <w:rFonts w:cs="Arial"/>
        </w:rPr>
      </w:pPr>
      <w:r w:rsidRPr="00D168C3">
        <w:rPr>
          <w:rFonts w:cs="Arial"/>
        </w:rPr>
        <w:t>Formen der Unterstützung von Auszählung und Ermittlung des Wahlergebnisses mittels elektronischer Geräte werden erprobt.</w:t>
      </w:r>
    </w:p>
    <w:p w14:paraId="0467D291" w14:textId="77777777" w:rsidR="00022A2F" w:rsidRPr="00D168C3" w:rsidRDefault="00022A2F" w:rsidP="00AF188C">
      <w:pPr>
        <w:spacing w:after="0"/>
        <w:jc w:val="both"/>
        <w:rPr>
          <w:rFonts w:cs="Arial"/>
        </w:rPr>
      </w:pPr>
    </w:p>
    <w:p w14:paraId="1E05C9C3" w14:textId="77777777" w:rsidR="00022A2F" w:rsidRPr="00D168C3" w:rsidRDefault="00022A2F" w:rsidP="00AF188C">
      <w:pPr>
        <w:spacing w:after="0"/>
        <w:jc w:val="both"/>
        <w:rPr>
          <w:rFonts w:cs="Arial"/>
        </w:rPr>
      </w:pPr>
      <w:r w:rsidRPr="00D168C3">
        <w:rPr>
          <w:rFonts w:cs="Arial"/>
        </w:rPr>
        <w:t>Zum beispielhaft genannten Verfahren der integrierten Stichwahl:</w:t>
      </w:r>
    </w:p>
    <w:p w14:paraId="14378AA0" w14:textId="7372BDE1" w:rsidR="00022A2F" w:rsidRPr="00D168C3" w:rsidRDefault="00022A2F" w:rsidP="00AF188C">
      <w:pPr>
        <w:spacing w:after="0"/>
        <w:jc w:val="both"/>
        <w:rPr>
          <w:rFonts w:cs="Arial"/>
        </w:rPr>
      </w:pPr>
      <w:r w:rsidRPr="00D168C3">
        <w:rPr>
          <w:rFonts w:cs="Arial"/>
        </w:rPr>
        <w:t>Die wahlberechtigte Person kennzeichnet auf dem Stimmzettel die Kandidatinnen und Kandidaten in der Reihenfolge der persönlichen Präferenz mit aufsteigenden Zahlen (1, 2, 3 usw.) Es liegt dabei im eigenen Ermessen der wahlberechtigten Person, alle oder nur einen Teil der Kandidaten durchzunummerieren. Die wahlberechtigte Person bringt dadurch zum Ausdruck, welche Kandidatin oder welchen Kandidaten er oder sie am liebsten im Bürgermeisteramt sehen würde, und bringt die übrigen für ihn oder sie wählbaren Kandidatinnen und Kandidaten in eine Rangfolge. Die wahlberechtigte Person kann sich auch darauf beschränken, wie bisher nur eine einzige Kandidatin oder einen einzigen Kandidaten zu kennzeichnen; statt der Ziffer 1 kann hierfür weiterhin das herkömmliche Kreuz verwendet werden. Bei der Auszählung am Wahlabend werden zunächst nur die mit einem Kreuz oder einer 1 gekennzeichneten Kandidatinnen und Kandidaten berücksichtigt. Danach werden die Wahlunterlagen wie üblich der Gemeindewahlbehörde übergeben. Wird am Wahlabend keine absolute Mehrheit festgestellt, werden die Stimmzettel einige Tage nach der Wahl durch einen Stichwahlvorstand weiter ausgezählt und bis dahin sicher verwahrt. Der Stichwahlvorstand ermittelt mit Hilfe der aufsteigenden Zahlen, wie die Wahlberechtigten sich bei einer Stichwahl entscheiden würden, ohne dass diese Stichwahl gesondert durchgeführt werden muss. Dafür wird auf der Basis des vorläufigen Wahlergebnisses vom Wahlabend zunächst die Kandidatin oder der Kandidat mit den wenigsten Stimmen aus dem Rennen genommen. Die Stimmen der Wahlberechtigten, die für diese Person mit 1 oder Kreuz gestimmt haben, werden jeweils derjenigen Person unter den verbliebenen Kandidierenden zugesprochen, die auf dem Stimmzettel nächstplatziert ist, also die niedrigere Zahl trägt. Stimmzettel, auf denen keiner der verbliebenen Kandidierenden mit einer Zahl gekennzeichnet ist, werden ausgesondert. Die so ermittelten weiteren Stimmen für die verbliebenen Kandidierenden werden zu den bereits bei der ersten Auszählung (vom Wahlabend) ermittelten Stimmen addiert. Hat damit einer der Kandidierenden die absolute Mehrheit, ist die Auszählung beendet. Ansonsten werden so lange die jeweils schwächsten Kandidierenden herausgenommen und diese Stimmzettel neu ausgewertet, bis eine Kandidatin oder ein Kandidat über eine absolute Mehrheit der Wählerstimmen verfügt.</w:t>
      </w:r>
    </w:p>
    <w:p w14:paraId="13EB5481" w14:textId="77777777" w:rsidR="00022A2F" w:rsidRPr="00D168C3" w:rsidRDefault="00022A2F" w:rsidP="00AF188C">
      <w:pPr>
        <w:spacing w:after="0"/>
        <w:jc w:val="both"/>
        <w:rPr>
          <w:rFonts w:cs="Arial"/>
        </w:rPr>
      </w:pPr>
    </w:p>
    <w:p w14:paraId="7F96FEF6" w14:textId="77777777" w:rsidR="00EF7D1F" w:rsidRPr="00D168C3" w:rsidRDefault="00EF7D1F" w:rsidP="00AF188C">
      <w:pPr>
        <w:pStyle w:val="Listenabsatz"/>
        <w:numPr>
          <w:ilvl w:val="0"/>
          <w:numId w:val="7"/>
        </w:numPr>
        <w:jc w:val="both"/>
        <w:rPr>
          <w:rFonts w:cs="Arial"/>
          <w:b/>
          <w:bCs/>
        </w:rPr>
      </w:pPr>
    </w:p>
    <w:p w14:paraId="5FAF60CC" w14:textId="6CD28758" w:rsidR="008120BE" w:rsidRPr="00D168C3" w:rsidRDefault="008120BE" w:rsidP="00AF188C">
      <w:pPr>
        <w:spacing w:after="0"/>
        <w:jc w:val="both"/>
        <w:rPr>
          <w:rFonts w:cs="Arial"/>
        </w:rPr>
      </w:pPr>
      <w:r w:rsidRPr="00D168C3">
        <w:rPr>
          <w:rFonts w:cs="Arial"/>
        </w:rPr>
        <w:t xml:space="preserve">Die Neuregelung in § 3 a Absatz 2 des Landesverwaltungsverfahrensgesetz ermöglicht die einfache Ersetzung der Schriftform durch die elektronische Form, soweit nicht durch Rechtsvorschrift etwas anderes bestimmt ist, ohne dass, wie bisher, eine elektronische Signatur an die Stelle der vorgesehenen Schriftform treten muss. Durch die vorliegende Regelung werden Verfahren, in denen statusberührende beamtenrechtliche Maßnahmen </w:t>
      </w:r>
      <w:r w:rsidRPr="00D168C3">
        <w:rPr>
          <w:rFonts w:cs="Arial"/>
        </w:rPr>
        <w:lastRenderedPageBreak/>
        <w:t>getroffen werden (Entlassung aus dem Beamtenverhältnis, Nichtigkeit oder Rücknahme der Ernennung, Überprüfung der Dienstfähigkeit), Sachverhalte, in denen finanzielle Ansprüche geltend gemacht werden (Ersatz von Sachschäden, Erfüllung durch den Dienstherrn bei Schmerzensgeldansprüchen) sowie weitere Sachverhalte von besonderer Wichtigkeit (Mitteilung von Inhalt und Empfänger der Auskunft bei der Beauskunftung Dritter aus Personalakten, Belehrung von Berufsgeheimnisträgern über ihre Schweigepflicht) hiervon ausgenommen. In diesen Fällen ist eine einfache Textform nicht ausreichend.</w:t>
      </w:r>
    </w:p>
    <w:p w14:paraId="47FD28EF" w14:textId="77777777" w:rsidR="008120BE" w:rsidRPr="00D168C3" w:rsidRDefault="008120BE" w:rsidP="00AF188C">
      <w:pPr>
        <w:spacing w:after="0"/>
        <w:jc w:val="both"/>
        <w:rPr>
          <w:rFonts w:cs="Arial"/>
        </w:rPr>
      </w:pPr>
      <w:r w:rsidRPr="00D168C3">
        <w:rPr>
          <w:rFonts w:cs="Arial"/>
        </w:rPr>
        <w:t xml:space="preserve">Im Hinblick auf das Ziel der Entbürokratisierung und Verfahrensvereinfachung durch Genehmigungs- und Vollständigkeitsfiktion (Rn. 48 ff. der Föderalen Modernisierungsagenda) wurden ebenfalls die Vorschriften des Landesbeamtengesetzes geprüft. Beamtinnen und Beamte befinden sich in einem öffentlich-rechtlichen Dienst- und Treueverhältnis zu ihrem Dienstherrn. Damit verbunden sind zahlreiche beamtenrechtliche Pflichten, die in der Fürsorgepflicht des Dienstherrn ihnen gegenüber ihrer Entsprechung finden. Das Landesbeamtengesetz kennt zahlreiche Fälle, in denen Beamtinnen und Beamte der Zustimmung oder Genehmigung ihres Dienstherrn bedürfen (Aussagegenehmigung, Fernbleiben vom Dienst, Nutzung von Einrichtungen, Personal oder Material des Dienstherrn für Nebentätigkeiten). Hier ist die aktive Mitwirkung des Dienstherrn erforderlich; eine Genehmigungsfiktion ist nicht möglich. </w:t>
      </w:r>
    </w:p>
    <w:p w14:paraId="0DFC257A" w14:textId="166BFE08" w:rsidR="008120BE" w:rsidRPr="00D168C3" w:rsidRDefault="008120BE" w:rsidP="00AF188C">
      <w:pPr>
        <w:spacing w:after="0"/>
        <w:jc w:val="both"/>
        <w:rPr>
          <w:rFonts w:cs="Arial"/>
        </w:rPr>
      </w:pPr>
      <w:r w:rsidRPr="00D168C3">
        <w:rPr>
          <w:rFonts w:cs="Arial"/>
        </w:rPr>
        <w:t>Im Ergebnis ist festzustellen, dass von den Instrumentarien der Genehmigungsfiktion sowie der Vollständigkeitsfiktion zur Verfahrensbeschleunigung hier kein Gebrauch gemacht werden kann und daher eine Ausnahmeregelung in Form der beabsichtigten Änderung erforderlich ist.</w:t>
      </w:r>
    </w:p>
    <w:p w14:paraId="4C435C6B" w14:textId="77777777" w:rsidR="008120BE" w:rsidRPr="00D168C3" w:rsidRDefault="008120BE" w:rsidP="00AF188C">
      <w:pPr>
        <w:spacing w:after="0"/>
        <w:jc w:val="both"/>
        <w:rPr>
          <w:rFonts w:cs="Arial"/>
        </w:rPr>
      </w:pPr>
    </w:p>
    <w:p w14:paraId="45DAA290" w14:textId="77777777" w:rsidR="004443A9" w:rsidRPr="00D168C3" w:rsidRDefault="004443A9" w:rsidP="00AF188C">
      <w:pPr>
        <w:pStyle w:val="Listenabsatz"/>
        <w:numPr>
          <w:ilvl w:val="0"/>
          <w:numId w:val="7"/>
        </w:numPr>
        <w:jc w:val="both"/>
        <w:rPr>
          <w:rFonts w:cs="Arial"/>
          <w:b/>
          <w:bCs/>
        </w:rPr>
      </w:pPr>
    </w:p>
    <w:p w14:paraId="2AAA10ED" w14:textId="3FF88095" w:rsidR="008C4D9F" w:rsidRDefault="008C4D9F" w:rsidP="00AF188C">
      <w:pPr>
        <w:spacing w:after="0"/>
        <w:jc w:val="both"/>
        <w:rPr>
          <w:rFonts w:cs="Arial"/>
        </w:rPr>
      </w:pPr>
      <w:r w:rsidRPr="00D168C3">
        <w:rPr>
          <w:rFonts w:cs="Arial"/>
        </w:rPr>
        <w:t xml:space="preserve">Der elektronische Rechtsverkehr und die elektronische Aktenführung bei den Gerichten sind grundsätzlich Gegenstände der konkurrierenden Gesetzgebung gemäß Artikel 74 Absatz 1 Nummer 1 des Grundgesetzes (GG). Artikel 74 Absatz 1 Nummer 1 GG umfasst jedoch nicht die Verfassungsgerichtsbarkeit. Das Landesverfassungsgericht ist ein Verfassungsorgan, für dessen „Verfassung“ und Verfahren das Land kraft seiner Verfassungsautonomie zuständig ist (siehe Artikel 54 der Verfassung des Landes Mecklenburg-Vorpommern). Das Landesverfassungsgericht nimmt anders als die Gerichte des Bundes und der Länder der ordentlichen Gerichtsbarkeit und der Fachgerichtsbarkeiten noch nicht am elektronischen Rechtsverkehr teil. Um die Vorteile der elektronischen Kommunikation zu nutzen, sollen mit Artikel </w:t>
      </w:r>
      <w:r w:rsidR="00FD21F6">
        <w:rPr>
          <w:rFonts w:cs="Arial"/>
        </w:rPr>
        <w:t>15</w:t>
      </w:r>
      <w:r w:rsidRPr="00D168C3">
        <w:rPr>
          <w:rFonts w:cs="Arial"/>
        </w:rPr>
        <w:t xml:space="preserve"> die gesetzlichen Rahmenbedingungen für die sichere elektronische verfahrensbezogene Kommunikation mit dem Landesverfassungsgericht sowie für die elektronische Aktenführung geschaffen werden. </w:t>
      </w:r>
      <w:r w:rsidR="00FD21F6" w:rsidRPr="00FD21F6">
        <w:rPr>
          <w:rFonts w:cs="Arial"/>
        </w:rPr>
        <w:t xml:space="preserve">Aus Gründen der Rechtsvereinfachung und der Einheitlichkeit des elektronischen Rechtsverkehrs wird im Wesentlichen auf die schon bestehenden Regelungen zum elektronischen Rechtsverkehr in der Verwaltungsgerichtsordnung (VwGO) verwiesen. Zwar wird bereits jetzt in § 13 des Landesverfassungsgerichtsgesetzes (LVerfGG M-V) auf die Vorschriften der VwGO verwiesen, soweit das LVerfGG M-V selbst keine Regelung enthält. Dieser Verweis umfasst jedoch nicht die §§ 55a – 55d VwGO. Denn das LVerfGG M-V enthält eigene Vorschriften zur Form des Rechtsverkehrs. So regelt § 19 Absatz 1 LVerfGG M-V, dass Anträge, die das Verfahren einleiten, schriftlich beim Landesverfassungsgericht einzureichen sind. Hiermit wäre es nicht vereinbar, in dem allgemeinen Verweis auf die VwGO auch einen Verweis auf die </w:t>
      </w:r>
      <w:r w:rsidR="00FD21F6">
        <w:rPr>
          <w:rFonts w:cs="Arial"/>
        </w:rPr>
        <w:br/>
      </w:r>
      <w:r w:rsidR="00FD21F6" w:rsidRPr="00FD21F6">
        <w:rPr>
          <w:rFonts w:cs="Arial"/>
        </w:rPr>
        <w:t>§§ 55a – 55d VwGO zu sehen.</w:t>
      </w:r>
    </w:p>
    <w:p w14:paraId="3B69BA8E" w14:textId="6226BF09" w:rsidR="00FD21F6" w:rsidRDefault="00FD21F6" w:rsidP="00AF188C">
      <w:pPr>
        <w:spacing w:after="0"/>
        <w:jc w:val="both"/>
        <w:rPr>
          <w:rFonts w:cs="Arial"/>
        </w:rPr>
      </w:pPr>
    </w:p>
    <w:p w14:paraId="3CA40382" w14:textId="77777777" w:rsidR="00FD21F6" w:rsidRDefault="00FD21F6" w:rsidP="00FD21F6">
      <w:pPr>
        <w:spacing w:after="0"/>
        <w:jc w:val="both"/>
        <w:rPr>
          <w:rFonts w:cs="Arial"/>
        </w:rPr>
      </w:pPr>
      <w:r>
        <w:rPr>
          <w:rFonts w:cs="Arial"/>
        </w:rPr>
        <w:t xml:space="preserve">Zu Nummer 1: </w:t>
      </w:r>
    </w:p>
    <w:p w14:paraId="037BBA3A" w14:textId="33A00BE2" w:rsidR="00FD21F6" w:rsidRPr="00D168C3" w:rsidRDefault="00FD21F6" w:rsidP="00AF188C">
      <w:pPr>
        <w:spacing w:after="0"/>
        <w:jc w:val="both"/>
        <w:rPr>
          <w:rFonts w:cs="Arial"/>
        </w:rPr>
      </w:pPr>
      <w:r>
        <w:rPr>
          <w:rFonts w:cs="Arial"/>
        </w:rPr>
        <w:t>Die Änderung der Inhaltsübersicht folgt aus der Einfügung des § 19a.</w:t>
      </w:r>
    </w:p>
    <w:p w14:paraId="7935DF75" w14:textId="15EE6EA8" w:rsidR="006E6A66" w:rsidRPr="00D168C3" w:rsidRDefault="006E6A66" w:rsidP="00AF188C">
      <w:pPr>
        <w:spacing w:after="0"/>
        <w:jc w:val="both"/>
        <w:rPr>
          <w:rFonts w:cs="Arial"/>
        </w:rPr>
      </w:pPr>
      <w:r w:rsidRPr="00D168C3">
        <w:rPr>
          <w:rFonts w:cs="Arial"/>
        </w:rPr>
        <w:lastRenderedPageBreak/>
        <w:t>Zu Nummer 2:</w:t>
      </w:r>
    </w:p>
    <w:p w14:paraId="1DEDCB87" w14:textId="77777777" w:rsidR="008C4D9F" w:rsidRPr="00D168C3" w:rsidRDefault="008C4D9F" w:rsidP="00AF188C">
      <w:pPr>
        <w:spacing w:after="0"/>
        <w:jc w:val="both"/>
        <w:rPr>
          <w:rFonts w:cs="Arial"/>
        </w:rPr>
      </w:pPr>
      <w:r w:rsidRPr="00D168C3">
        <w:rPr>
          <w:rFonts w:cs="Arial"/>
        </w:rPr>
        <w:t>Absatz 1</w:t>
      </w:r>
    </w:p>
    <w:p w14:paraId="7717DD9F" w14:textId="44FF453B" w:rsidR="008C4D9F" w:rsidRPr="00D168C3" w:rsidRDefault="008C4D9F" w:rsidP="00AF188C">
      <w:pPr>
        <w:spacing w:after="0"/>
        <w:jc w:val="both"/>
        <w:rPr>
          <w:rFonts w:cs="Arial"/>
        </w:rPr>
      </w:pPr>
      <w:r w:rsidRPr="00D168C3">
        <w:rPr>
          <w:rFonts w:cs="Arial"/>
        </w:rPr>
        <w:t xml:space="preserve">Nach Absatz 1 Satz 1 sind die Vorschriften der VwGO zum elektronischen Rechtsverkehr sowie die auf dieser Grundlage erlassenen Rechtsverordnungen für die Verfahren vor dem Landesverfassungsgericht entsprechend anzuwenden, soweit im LVerfGG M-V nichts anderes bestimmt ist. Die Verweisungen sind dynamisch, so dass bundesrechtliche Änderungen im Landesrecht automatisch nachvollzogen werden, ohne dass der Landesgesetzgeber tätig werden muss. Dies dient dem Gleichlauf mit dem elektronischen Rechtsverkehr in der Verwaltungsgerichtsbarkeit sowie den vergleichbaren Regelungen in den anderen Verfahrensgesetzen des Bundes. Die Verweisungen beziehen sind gegenwärtig insbesondere auf die § 55a und 55d VwGO, der allerdings durch Absatz 1 Satz 2 bezüglich des Beginns der Nutzungspflicht modifiziert wird. Gemäß der Verweisung auf § 55a Absatz 1 VwGO können vorbereitende Schriftsätze und deren Anlagen, schriftlich einzureichende Anträge und Erklärungen der Beteiligten sowie schriftlich einzureichende Auskünfte, Aussagen, Gutachten, Übersetzungen und Erklärungen Dritter als elektronisches Dokument beim Landesverfassungsgericht eingereicht werden. Die Anforderungen an das elektronische Dokument und dessen Übermittlung ergeben sich aus § 55a Absatz 2 bis 7 VwGO sowie der aufgrund des § 55a </w:t>
      </w:r>
      <w:r w:rsidR="001E1039">
        <w:rPr>
          <w:rFonts w:cs="Arial"/>
        </w:rPr>
        <w:t xml:space="preserve">Absatz </w:t>
      </w:r>
      <w:r w:rsidRPr="00D168C3">
        <w:rPr>
          <w:rFonts w:cs="Arial"/>
        </w:rPr>
        <w:t>2 Satz 2 VwGO erlassenen Rechtsverordnung.</w:t>
      </w:r>
    </w:p>
    <w:p w14:paraId="2A626D7D" w14:textId="2A2C410C" w:rsidR="008C4D9F" w:rsidRPr="00D168C3" w:rsidRDefault="008C4D9F" w:rsidP="00AF188C">
      <w:pPr>
        <w:spacing w:after="0"/>
        <w:jc w:val="both"/>
        <w:rPr>
          <w:rFonts w:cs="Arial"/>
        </w:rPr>
      </w:pPr>
      <w:r w:rsidRPr="00D168C3">
        <w:rPr>
          <w:rFonts w:cs="Arial"/>
        </w:rPr>
        <w:t>Abweichend von § 55d VwGO ist die Nutzung des elektronischen Rechtsverkehrs für sog. professionelle Nutzer (insbesondere Rechtsanwälte und Behörden) gemäß Absatz 1 Satz 2 nach Inkrafttreten des vorliegenden Gesetzes zunächst fakultativ und erst ab 1. Januar 2027 verpflichtend, so dass eine Übergangsphase besteht. Nichtprofessionelle Nutzer sind nicht zur Nutzung des elektronischen Rechtsverkehrs verpflichtet. Die Nutzungspflicht soll nur solche Verfahrensbeteiligte treffen, für die aufgrund einer professionellen Nähe zur Rechtsverfolgung vermutet werden kann, dass die notwendige technische Infrastruktur vorhanden ist und die Rechtsverfolgung durch den elektronischen Rechtsverkehr nicht erschwert wird.</w:t>
      </w:r>
    </w:p>
    <w:p w14:paraId="232E7A56" w14:textId="77777777" w:rsidR="008C4D9F" w:rsidRPr="00D168C3" w:rsidRDefault="008C4D9F" w:rsidP="00AF188C">
      <w:pPr>
        <w:spacing w:after="0"/>
        <w:jc w:val="both"/>
        <w:rPr>
          <w:rFonts w:cs="Arial"/>
        </w:rPr>
      </w:pPr>
    </w:p>
    <w:p w14:paraId="342CAE87" w14:textId="77AB8748" w:rsidR="006E6A66" w:rsidRPr="00D168C3" w:rsidRDefault="008C4D9F" w:rsidP="00AF188C">
      <w:pPr>
        <w:spacing w:after="0"/>
        <w:jc w:val="both"/>
        <w:rPr>
          <w:rFonts w:cs="Arial"/>
        </w:rPr>
      </w:pPr>
      <w:r w:rsidRPr="00D168C3">
        <w:rPr>
          <w:rFonts w:cs="Arial"/>
        </w:rPr>
        <w:t>Absatz 2</w:t>
      </w:r>
    </w:p>
    <w:p w14:paraId="0A71CCBF" w14:textId="573CCF16" w:rsidR="008C4D9F" w:rsidRPr="00D168C3" w:rsidRDefault="008C4D9F" w:rsidP="00AF188C">
      <w:pPr>
        <w:spacing w:after="0"/>
        <w:jc w:val="both"/>
        <w:rPr>
          <w:rFonts w:cs="Arial"/>
        </w:rPr>
      </w:pPr>
      <w:r w:rsidRPr="00D168C3">
        <w:rPr>
          <w:rFonts w:cs="Arial"/>
        </w:rPr>
        <w:t>Abweichend von § 55b Absatz 1a Satz 1 VwGO, der für den Beginn der elektronischen Aktenführung den 1. Januar 2026 festsetzt, sieht Absatz 2 Satz 1 vor, dass das Landesverfassungsgericht die Prozessakten elektronisch führen kann; ein Zeitpunkt, ab dem die Prozessakten elektronisch geführt werden müssen, wird nicht festgelegt. Diesen Zeitpunkt bestimmt das Landesverfassungsgericht gemäß Absatz 2 Satz 2 in seiner Geschäftsordnung. Die vorgesehene Befugnis des Landesverfassungsgerichts, über den Zeitpunkt selbst bestimmen zu können, entspricht der herausgehobenen verfassungsrechtlichen Stellung dieses Gerichts als sog. Verfassungsorgan. Zudem korrespondiert diese Befugnis auch mit der tatsächlichen inneren Struktur d</w:t>
      </w:r>
      <w:r w:rsidR="001E529E">
        <w:rPr>
          <w:rFonts w:cs="Arial"/>
        </w:rPr>
        <w:t>e</w:t>
      </w:r>
      <w:r w:rsidRPr="00D168C3">
        <w:rPr>
          <w:rFonts w:cs="Arial"/>
        </w:rPr>
        <w:t>s Landesverfassungsgerichts, das mit justizinternen und justizexternen Mitgliedern besetzt ist, was bei der Einführung der elektronischen Aktenführung zu berücksichtigen ist. Abweichend von § 55b Absatz 1a Satz 2 VwGO legt das Landesverfassungsgericht die organisatorisch-technischen Rahmenbedingungen für die Bildung, Führung und Verwahrung der elektronischen Akten fest.</w:t>
      </w:r>
    </w:p>
    <w:p w14:paraId="0273DD53" w14:textId="77777777" w:rsidR="006E6A66" w:rsidRPr="00D168C3" w:rsidRDefault="006E6A66" w:rsidP="00AF188C">
      <w:pPr>
        <w:spacing w:after="0"/>
        <w:jc w:val="both"/>
        <w:rPr>
          <w:rFonts w:cs="Arial"/>
        </w:rPr>
      </w:pPr>
    </w:p>
    <w:p w14:paraId="3CE2191A" w14:textId="77777777" w:rsidR="004443A9" w:rsidRPr="00D168C3" w:rsidRDefault="004443A9" w:rsidP="00AF188C">
      <w:pPr>
        <w:pStyle w:val="Listenabsatz"/>
        <w:numPr>
          <w:ilvl w:val="0"/>
          <w:numId w:val="7"/>
        </w:numPr>
        <w:jc w:val="both"/>
        <w:rPr>
          <w:rFonts w:cs="Arial"/>
          <w:b/>
          <w:bCs/>
        </w:rPr>
      </w:pPr>
    </w:p>
    <w:p w14:paraId="6D3AA644" w14:textId="5859E03C" w:rsidR="007E537E" w:rsidRPr="00D168C3" w:rsidRDefault="007E537E" w:rsidP="00AF188C">
      <w:pPr>
        <w:spacing w:after="0"/>
        <w:jc w:val="both"/>
        <w:rPr>
          <w:rFonts w:cs="Arial"/>
        </w:rPr>
      </w:pPr>
      <w:r w:rsidRPr="00D168C3">
        <w:rPr>
          <w:rFonts w:cs="Arial"/>
        </w:rPr>
        <w:t xml:space="preserve">Die Anerkennung einer Stiftung hat konstitutive Wirkung und führt zur Entstehung einer rechtsfähigen juristischen Person. Sie ist mit einer dauerhaften Vermögensbindung und erheblichen Wirkungen für den Rechtsverkehr verbunden. Die Entscheidung setzt eine umfassende Prüfung der gesetzlichen Anerkennungsvoraussetzungen, insbesondere der nachhaltigen Erfüllbarkeit des Stiftungszwecks und der ausreichenden </w:t>
      </w:r>
      <w:r w:rsidRPr="00D168C3">
        <w:rPr>
          <w:rFonts w:cs="Arial"/>
        </w:rPr>
        <w:lastRenderedPageBreak/>
        <w:t>Vermögensausstattung, voraus. Eine Genehmigungsfiktion würde zur Entstehung einer Stiftung allein durch Fristablauf führen und die notwendige materielle Kontrolle unterlaufen. Angesichts der langfristigen und irreversiblen Rechtsfolgen ist der Ausschluss der Genehmigungsfiktion zur Wahrung der Rechtssicherheit geboten.</w:t>
      </w:r>
    </w:p>
    <w:p w14:paraId="64647924" w14:textId="7D8834AA" w:rsidR="001B079F" w:rsidRPr="00D168C3" w:rsidRDefault="001B079F" w:rsidP="00AF188C">
      <w:pPr>
        <w:spacing w:after="0"/>
        <w:jc w:val="both"/>
        <w:rPr>
          <w:rFonts w:cs="Arial"/>
        </w:rPr>
      </w:pPr>
    </w:p>
    <w:p w14:paraId="162EF24C" w14:textId="77777777" w:rsidR="001B079F" w:rsidRPr="00D168C3" w:rsidRDefault="001B079F" w:rsidP="00AF188C">
      <w:pPr>
        <w:pStyle w:val="Listenabsatz"/>
        <w:numPr>
          <w:ilvl w:val="0"/>
          <w:numId w:val="7"/>
        </w:numPr>
        <w:jc w:val="both"/>
        <w:rPr>
          <w:rFonts w:cs="Arial"/>
          <w:b/>
          <w:bCs/>
        </w:rPr>
      </w:pPr>
    </w:p>
    <w:p w14:paraId="5CCB0EE2" w14:textId="4439576F" w:rsidR="001B079F" w:rsidRPr="00D168C3" w:rsidRDefault="001B079F" w:rsidP="00AF188C">
      <w:pPr>
        <w:spacing w:after="0"/>
        <w:jc w:val="both"/>
        <w:rPr>
          <w:rFonts w:cs="Arial"/>
        </w:rPr>
      </w:pPr>
      <w:r w:rsidRPr="00D168C3">
        <w:rPr>
          <w:rFonts w:cs="Arial"/>
        </w:rPr>
        <w:t>Zu Nummer 1:</w:t>
      </w:r>
    </w:p>
    <w:p w14:paraId="66DC20AD" w14:textId="0B677029" w:rsidR="001B079F" w:rsidRPr="00D168C3" w:rsidRDefault="001B079F" w:rsidP="00AF188C">
      <w:pPr>
        <w:spacing w:after="0"/>
        <w:jc w:val="both"/>
        <w:rPr>
          <w:rFonts w:cs="Arial"/>
        </w:rPr>
      </w:pPr>
      <w:r w:rsidRPr="00D168C3">
        <w:rPr>
          <w:rFonts w:cs="Arial"/>
        </w:rPr>
        <w:t>Die Änderung der Inhaltsübersicht folgt aus der Neufassung der Überschrift des § 3.</w:t>
      </w:r>
    </w:p>
    <w:p w14:paraId="1A467EB5" w14:textId="1D77A6DE" w:rsidR="001B079F" w:rsidRPr="00D168C3" w:rsidRDefault="001B079F" w:rsidP="00AF188C">
      <w:pPr>
        <w:spacing w:after="0"/>
        <w:jc w:val="both"/>
        <w:rPr>
          <w:rFonts w:cs="Arial"/>
        </w:rPr>
      </w:pPr>
    </w:p>
    <w:p w14:paraId="12496692" w14:textId="137061B8" w:rsidR="001B079F" w:rsidRPr="00D168C3" w:rsidRDefault="001B079F" w:rsidP="00AF188C">
      <w:pPr>
        <w:spacing w:after="0"/>
        <w:jc w:val="both"/>
        <w:rPr>
          <w:rFonts w:cs="Arial"/>
        </w:rPr>
      </w:pPr>
      <w:r w:rsidRPr="00D168C3">
        <w:rPr>
          <w:rFonts w:cs="Arial"/>
        </w:rPr>
        <w:t>Zu Nummer 2 Buchstabe a:</w:t>
      </w:r>
    </w:p>
    <w:p w14:paraId="324E72EF" w14:textId="477AC169" w:rsidR="001B079F" w:rsidRPr="00D168C3" w:rsidRDefault="001B079F" w:rsidP="00AF188C">
      <w:pPr>
        <w:spacing w:after="0"/>
        <w:jc w:val="both"/>
        <w:rPr>
          <w:rFonts w:cs="Arial"/>
        </w:rPr>
      </w:pPr>
      <w:r w:rsidRPr="00D168C3">
        <w:rPr>
          <w:rFonts w:cs="Arial"/>
        </w:rPr>
        <w:t>Die Überschrift des § 3 wird entsprechend der neuen Regelung zur Anwendung des Landesverwaltungsverfahrensgesetzes in Absatz 4 neu gefasst.</w:t>
      </w:r>
    </w:p>
    <w:p w14:paraId="4114AED1" w14:textId="77777777" w:rsidR="001B079F" w:rsidRPr="00D168C3" w:rsidRDefault="001B079F" w:rsidP="00AF188C">
      <w:pPr>
        <w:spacing w:after="0"/>
        <w:jc w:val="both"/>
        <w:rPr>
          <w:rFonts w:cs="Arial"/>
        </w:rPr>
      </w:pPr>
    </w:p>
    <w:p w14:paraId="313EB11D" w14:textId="7F225DC0" w:rsidR="001B079F" w:rsidRPr="00D168C3" w:rsidRDefault="001B079F" w:rsidP="00AF188C">
      <w:pPr>
        <w:spacing w:after="0"/>
        <w:jc w:val="both"/>
        <w:rPr>
          <w:rFonts w:cs="Arial"/>
        </w:rPr>
      </w:pPr>
      <w:r w:rsidRPr="00D168C3">
        <w:rPr>
          <w:rFonts w:cs="Arial"/>
        </w:rPr>
        <w:t>Zu Nummer 2 Buchstabe b:</w:t>
      </w:r>
    </w:p>
    <w:p w14:paraId="6D594EBF" w14:textId="450A86B8" w:rsidR="001B079F" w:rsidRPr="00D168C3" w:rsidRDefault="001B079F" w:rsidP="00AF188C">
      <w:pPr>
        <w:spacing w:after="0"/>
        <w:jc w:val="both"/>
        <w:rPr>
          <w:rFonts w:cs="Arial"/>
        </w:rPr>
      </w:pPr>
      <w:r w:rsidRPr="00D168C3">
        <w:rPr>
          <w:rFonts w:cs="Arial"/>
        </w:rPr>
        <w:t xml:space="preserve">Ebenso wie das Landesbeamtengesetz M-V sieht auch das RiG M-V verschiedene Regelungen (z.B. § 5 </w:t>
      </w:r>
      <w:r w:rsidR="001E1039">
        <w:rPr>
          <w:rFonts w:cs="Arial"/>
        </w:rPr>
        <w:t xml:space="preserve">Absatz </w:t>
      </w:r>
      <w:r w:rsidRPr="00D168C3">
        <w:rPr>
          <w:rFonts w:cs="Arial"/>
        </w:rPr>
        <w:t>3 (Hinausschieben des Ruhestands), §§ 8 ff. (Teilzeitbeschäftigung, Beurlaubung etc.)) vor, die der Genehmigung oder Zustimmung des Dienstherrn bedürfen. Unter Berücksichtigung der Fürsorgepflicht des Dienstherrn und des Schutzes dienstlicher Belange kommt eine Ersetzung der Mitwirkung des Dienstherrn durch eine Genehmigungsfiktion nicht in Betracht.</w:t>
      </w:r>
    </w:p>
    <w:p w14:paraId="33B521A5" w14:textId="77777777" w:rsidR="00022A2F" w:rsidRPr="00D168C3" w:rsidRDefault="00022A2F" w:rsidP="00AF188C">
      <w:pPr>
        <w:spacing w:after="0"/>
        <w:jc w:val="both"/>
        <w:rPr>
          <w:rFonts w:cs="Arial"/>
        </w:rPr>
      </w:pPr>
    </w:p>
    <w:p w14:paraId="35088E1E" w14:textId="77777777" w:rsidR="004443A9" w:rsidRPr="00D168C3" w:rsidRDefault="004443A9" w:rsidP="00AF188C">
      <w:pPr>
        <w:pStyle w:val="Listenabsatz"/>
        <w:numPr>
          <w:ilvl w:val="0"/>
          <w:numId w:val="7"/>
        </w:numPr>
        <w:jc w:val="both"/>
        <w:rPr>
          <w:rFonts w:cs="Arial"/>
          <w:b/>
          <w:bCs/>
        </w:rPr>
      </w:pPr>
    </w:p>
    <w:p w14:paraId="7497599A" w14:textId="38653607" w:rsidR="001B079F" w:rsidRPr="00D168C3" w:rsidRDefault="001B079F" w:rsidP="00AF188C">
      <w:pPr>
        <w:spacing w:after="0"/>
        <w:jc w:val="both"/>
        <w:rPr>
          <w:rFonts w:cs="Arial"/>
        </w:rPr>
      </w:pPr>
      <w:r w:rsidRPr="00D168C3">
        <w:rPr>
          <w:rFonts w:cs="Arial"/>
        </w:rPr>
        <w:t>Zu Nummer 1 Buchstabe a:</w:t>
      </w:r>
    </w:p>
    <w:p w14:paraId="1DD68595" w14:textId="2307469D" w:rsidR="001B079F" w:rsidRPr="00D168C3" w:rsidRDefault="001B079F" w:rsidP="00AF188C">
      <w:pPr>
        <w:spacing w:after="0"/>
        <w:jc w:val="both"/>
        <w:rPr>
          <w:rFonts w:cs="Arial"/>
        </w:rPr>
      </w:pPr>
      <w:r w:rsidRPr="00D168C3">
        <w:rPr>
          <w:rFonts w:cs="Arial"/>
        </w:rPr>
        <w:t>Die Vorlage von Geburtsurkunden kann durch die Vorlage von Kopien bzw. von Kopien anderer amtlicher Identitätsnachweise ersetzt werden.</w:t>
      </w:r>
    </w:p>
    <w:p w14:paraId="692CAA4F" w14:textId="1ED3631A" w:rsidR="001B079F" w:rsidRPr="00D168C3" w:rsidRDefault="001B079F" w:rsidP="00AF188C">
      <w:pPr>
        <w:spacing w:after="0"/>
        <w:jc w:val="both"/>
        <w:rPr>
          <w:rFonts w:cs="Arial"/>
        </w:rPr>
      </w:pPr>
    </w:p>
    <w:p w14:paraId="0B5AE56F" w14:textId="2E6BF8E5" w:rsidR="001B079F" w:rsidRPr="00D168C3" w:rsidRDefault="001B079F" w:rsidP="00AF188C">
      <w:pPr>
        <w:spacing w:after="0"/>
        <w:jc w:val="both"/>
        <w:rPr>
          <w:rFonts w:cs="Arial"/>
        </w:rPr>
      </w:pPr>
      <w:r w:rsidRPr="00D168C3">
        <w:rPr>
          <w:rFonts w:cs="Arial"/>
        </w:rPr>
        <w:t>Zu Nummer 1 Buchstabe b:</w:t>
      </w:r>
    </w:p>
    <w:p w14:paraId="2E8DA760" w14:textId="6AB0F888" w:rsidR="001B079F" w:rsidRPr="00D168C3" w:rsidRDefault="001B079F" w:rsidP="00AF188C">
      <w:pPr>
        <w:spacing w:after="0"/>
        <w:jc w:val="both"/>
        <w:rPr>
          <w:rFonts w:cs="Arial"/>
        </w:rPr>
      </w:pPr>
      <w:r w:rsidRPr="00D168C3">
        <w:rPr>
          <w:rFonts w:cs="Arial"/>
        </w:rPr>
        <w:t xml:space="preserve">Für die Zulassung zu staatlichen Prüfungen und Berufen wurde in zahlreichen Ausbildungs- und Prüfungsordnungen per Gesetz oder Verordnung regelmäßig vorgegeben, dass bei der Bewerbung oder Anmeldung zu Prüfungen bestimmte Dokumente im Original oder in beglaubigter Kopie vorzulegen sind. Für die Juristenausbildung und Prüfung wurde dies bereits im Jahr 2023 in § 7 </w:t>
      </w:r>
      <w:r w:rsidR="001E1039">
        <w:rPr>
          <w:rFonts w:cs="Arial"/>
        </w:rPr>
        <w:t xml:space="preserve">Absatz </w:t>
      </w:r>
      <w:r w:rsidRPr="00D168C3">
        <w:rPr>
          <w:rFonts w:cs="Arial"/>
        </w:rPr>
        <w:t xml:space="preserve">3 JAPO M-V geändert. Diese Regelung ist beispielhaft für die vorliegende Änderung der aufgeführten Gesetze und Verordnungen. Es wird nun die Einreichung von (auch digitalen) Kopien zugelassen. Dadurch werden die Bürgerinnen und Bürger erheblich entlastet. Vor-Ort-Termine bei Behörden sind nicht mehr erforderlich; Gebühren für Beglaubigungen fallen nicht mehr an. Die Einreichung von Unterlagen in digitaler Form ermöglicht zudem die Digitalisierung von Verfahren und perspektivisch deren (gegebenenfalls teilweise) automatisierte Bearbeitung durch die Behörde. Letzteres spart Verwaltungsaufwand und schont die zunehmend knappen Personalressourcen der öffentlichen Verwaltung. Dem stehen keine gravierenden Nachteile gegenüber. Die Vornahme einer Beglaubigung bringt gegenüber der Einreichung einer reinen Kopie nur einen geringen Zusatznutzen. Er kommt allein in den seltenen Fällen zum Tragen, dass zum einen ein unechtes Dokument vorgelegt wird und zum anderen die Unrichtigkeit nur durch den Vergleich der Kopie mit dem Original vor Ort erkannt wird, nicht hingegen durch die Prüfung allein der Kopie. Eine nennenswerte Zunahme von Urkundenfälschungen ist nicht zu erwarten, weil die Abschreckungswirkung der maßgeblichen Strafvorschriften unverändert fortbesteht. Die Änderungen regeln konkret die Einreichung bereits vorhandene Dokumente, wie etwa </w:t>
      </w:r>
      <w:r w:rsidRPr="00D168C3">
        <w:rPr>
          <w:rFonts w:cs="Arial"/>
        </w:rPr>
        <w:lastRenderedPageBreak/>
        <w:t>Zeugnisse oder Geburtsurkunden bzw. sonstige amtliche Identitätsnachweise, da sich nur bei ihnen die Frage einer Beglaubigung stellt. Ungeachtet dessen ist (selbstverständlich) auch bei selbst zu erstellenden Dokumenten, wie etwa einem Lebenslauf, eine Einreichung in elektronischer Form möglich. Sollten sich ausnahmsweise Anhaltspunkte dafür ergeben, dass die Unterlagen unecht oder unrichtig sind, kann die Behörde die Nachreichung der Originale bzw. beglaubigte Kopien verlangen. Mit dieser Regelung kommt zum Ausdruck, dass von der Rechtstreue der Bürgerinnen und Bürger ausgegangen wird und nicht seltene Fälle des Missbrauchs in den Mittelpunkt der Rechtsetzung und Rechtsanwendung gestellt werden.</w:t>
      </w:r>
    </w:p>
    <w:p w14:paraId="42268586" w14:textId="3FFBDB3B" w:rsidR="001B079F" w:rsidRPr="00D168C3" w:rsidRDefault="001B079F" w:rsidP="00AF188C">
      <w:pPr>
        <w:spacing w:after="0"/>
        <w:jc w:val="both"/>
        <w:rPr>
          <w:rFonts w:cs="Arial"/>
        </w:rPr>
      </w:pPr>
    </w:p>
    <w:p w14:paraId="3C164C69" w14:textId="0362818F" w:rsidR="001B079F" w:rsidRPr="00D168C3" w:rsidRDefault="001B079F" w:rsidP="00AF188C">
      <w:pPr>
        <w:spacing w:after="0"/>
        <w:jc w:val="both"/>
        <w:rPr>
          <w:rFonts w:cs="Arial"/>
        </w:rPr>
      </w:pPr>
      <w:r w:rsidRPr="00847AB7">
        <w:rPr>
          <w:rFonts w:cs="Arial"/>
        </w:rPr>
        <w:t>Zu Nummer 2 und 3:</w:t>
      </w:r>
    </w:p>
    <w:p w14:paraId="1BCBA1A2" w14:textId="1B27FFD6" w:rsidR="002D30B0" w:rsidRPr="00D168C3" w:rsidRDefault="002D30B0" w:rsidP="00AF188C">
      <w:pPr>
        <w:spacing w:after="0"/>
        <w:jc w:val="both"/>
        <w:rPr>
          <w:rFonts w:cs="Arial"/>
        </w:rPr>
      </w:pPr>
      <w:r w:rsidRPr="00D168C3">
        <w:rPr>
          <w:rFonts w:cs="Arial"/>
        </w:rPr>
        <w:t xml:space="preserve">Der Verweis in § 16 Absatz 1 Satz 6 sowie § </w:t>
      </w:r>
      <w:r w:rsidRPr="00D168C3">
        <w:rPr>
          <w:rFonts w:cs="Arial"/>
          <w:szCs w:val="24"/>
        </w:rPr>
        <w:t xml:space="preserve">19 Absatz 1 Satz 2 </w:t>
      </w:r>
      <w:r w:rsidRPr="00D168C3">
        <w:rPr>
          <w:rFonts w:cs="Arial"/>
        </w:rPr>
        <w:t>wird angepasst. Aufgrund der zwischenzeitlichen Neustrukturierung des § 11 ist die Bestimmung der Notenstufen nunmehr in § 11 Absatz 4 geregelt. Der bisherige Verweis auf § 11 Absatz 3 Satz 6 ist daher nicht mehr zutreffend.</w:t>
      </w:r>
      <w:r w:rsidR="00D129CB" w:rsidRPr="00D168C3">
        <w:rPr>
          <w:rFonts w:cs="Arial"/>
        </w:rPr>
        <w:t xml:space="preserve"> </w:t>
      </w:r>
      <w:r w:rsidRPr="00D168C3">
        <w:rPr>
          <w:rFonts w:cs="Arial"/>
        </w:rPr>
        <w:t>Es handelt sich um eine redaktionelle Folgeanpassung zur Klarstellung und Berichtigung des Normverweises. Eine inhaltliche Änderung der Bewertungssystematik oder der Notenbildung ist hiermit nicht verbunden.</w:t>
      </w:r>
    </w:p>
    <w:p w14:paraId="46DF3419" w14:textId="7BDE6BAF" w:rsidR="004443A9" w:rsidRPr="00D168C3" w:rsidRDefault="004443A9" w:rsidP="00AF188C">
      <w:pPr>
        <w:pStyle w:val="Listenabsatz"/>
        <w:ind w:left="360"/>
        <w:jc w:val="both"/>
        <w:rPr>
          <w:rFonts w:cs="Arial"/>
          <w:b/>
          <w:bCs/>
        </w:rPr>
      </w:pPr>
    </w:p>
    <w:p w14:paraId="1ED61927" w14:textId="77777777" w:rsidR="004443A9" w:rsidRPr="00D168C3" w:rsidRDefault="004443A9" w:rsidP="00AF188C">
      <w:pPr>
        <w:pStyle w:val="Listenabsatz"/>
        <w:numPr>
          <w:ilvl w:val="0"/>
          <w:numId w:val="7"/>
        </w:numPr>
        <w:jc w:val="both"/>
        <w:rPr>
          <w:rFonts w:cs="Arial"/>
          <w:b/>
          <w:bCs/>
        </w:rPr>
      </w:pPr>
    </w:p>
    <w:p w14:paraId="236A7A36" w14:textId="4D24FE08" w:rsidR="004443A9" w:rsidRPr="00D168C3" w:rsidRDefault="00056BFF" w:rsidP="00AF188C">
      <w:pPr>
        <w:spacing w:after="0"/>
        <w:jc w:val="both"/>
        <w:rPr>
          <w:rFonts w:cs="Arial"/>
        </w:rPr>
      </w:pPr>
      <w:r w:rsidRPr="00847AB7">
        <w:rPr>
          <w:rFonts w:cs="Arial"/>
        </w:rPr>
        <w:t>Zu Nummer 1 bis 3:</w:t>
      </w:r>
    </w:p>
    <w:p w14:paraId="686B0A66" w14:textId="658E464C" w:rsidR="00203FC4" w:rsidRPr="00D168C3" w:rsidRDefault="00203FC4" w:rsidP="00AF188C">
      <w:pPr>
        <w:spacing w:after="0"/>
        <w:jc w:val="both"/>
        <w:rPr>
          <w:rFonts w:cs="Arial"/>
        </w:rPr>
      </w:pPr>
      <w:r w:rsidRPr="00D168C3">
        <w:rPr>
          <w:rFonts w:cs="Arial"/>
        </w:rPr>
        <w:t xml:space="preserve">Die bisherige Verpflichtung zur Vorlage eines handschriftlich verfassten Lebenslaufes ist nicht mehr zeitgemäß. Sie stammt aus einer Zeit, in der handschriftliche Unterlagen als ergänzendes Instrument zur Einschätzung persönlicher Eigenschaften herangezogen wurden. In modernen Auswahlverfahren erfolgt die Beurteilung der fachlichen und persönlichen Eignung jedoch auf Grundlage strukturierter Bewerbungsunterlagen, standardisierter Auswahlverfahren, Tests, Assessment-Elemente sowie persönlicher Gespräche. Der Verzicht trägt daher zur Verwaltungsmodernisierung und zur Vereinfachung des Bewerbungsverfahrens bei. Die Pflicht zur Vorlage eines Lichtbildes im Bewerbungsverfahren wird aufgehoben. Für die Entscheidung über die Einstellung sind Eignung, Befähigung und fachliche Leistung maßgeblich (Art. 33 Absatz 2 GG). Ein Lichtbild ist für diese Beurteilung regelmäßig nicht erforderlich. Zudem trägt der Verzicht dem Ziel Rechnung, Diskriminierungsrisiken im Bewerbungsverfahren zu minimieren und die Konzentration auf leistungsbezogene Kriterien zu stärken. Die Identitätsfeststellung erfolgt zu einem späteren Zeitpunkt im Verfahren auf Grundlage amtlicher Identitätsnachweise. Ein Lichtbild im Bewerbungsstadium ist hierfür nicht erforderlich. Es wird klargestellt, dass Zeugnisse und sonstige Nachweise im Bewerbungsverfahren grundsätzlich in Kopie eingereicht werden können. Die Vorlage beglaubigter Abschriften im frühen Verfahrensstadium ist regelmäßig nicht erforderlich, da die Echtheit der Unterlagen vor einer Einstellung überprüft werden kann. Die Möglichkeit, zunächst Kopien einzureichen, reduziert Kosten und organisatorischen Aufwand für Bewerbende und erleichtert eine digitale Verfahrensabwicklung. Die Verwaltung bleibt befugt, im weiteren Verlauf des Verfahrens oder vor der endgültigen Einstellung die Vorlage von Originalen oder beglaubigten Abschriften zu verlangen, sofern dies zur Verifikation erforderlich ist. Die Pflicht zur Vorlage einer Geburtsurkunde entfällt, sofern die Identität durch einen gültigen amtlichen Identitätsnachweis (z. B. Personalausweis oder Reisepass) belegt wird. Die Identitäts- und Altersfeststellung kann regelmäßig anhand eines gültigen amtlichen Ausweisdokuments erfolgen. Eine zusätzliche Geburtsurkunde ist hierfür nicht erforderlich. Der Verzicht reduziert Beschaffungsaufwand und Kosten für Bewerbende und trägt zur Verwaltungsvereinfachung bei. Die materiellen Voraussetzungen für die </w:t>
      </w:r>
      <w:r w:rsidRPr="00D168C3">
        <w:rPr>
          <w:rFonts w:cs="Arial"/>
        </w:rPr>
        <w:lastRenderedPageBreak/>
        <w:t>Einstellung, insbesondere hinsichtlich Staatsangehörigkeit, Alter oder Personenstand, bleiben hiervon unberührt und werden weiterhin geprüft.</w:t>
      </w:r>
    </w:p>
    <w:p w14:paraId="1A9E5EB0" w14:textId="48A33BE3" w:rsidR="00056BFF" w:rsidRPr="00D168C3" w:rsidRDefault="00056BFF" w:rsidP="00AF188C">
      <w:pPr>
        <w:spacing w:after="0"/>
        <w:jc w:val="both"/>
        <w:rPr>
          <w:rFonts w:cs="Arial"/>
        </w:rPr>
      </w:pPr>
    </w:p>
    <w:p w14:paraId="04B5A90A" w14:textId="77777777" w:rsidR="00056BFF" w:rsidRPr="00D168C3" w:rsidRDefault="00056BFF" w:rsidP="00AF188C">
      <w:pPr>
        <w:pStyle w:val="Listenabsatz"/>
        <w:numPr>
          <w:ilvl w:val="0"/>
          <w:numId w:val="7"/>
        </w:numPr>
        <w:jc w:val="both"/>
        <w:rPr>
          <w:rFonts w:cs="Arial"/>
          <w:b/>
          <w:bCs/>
        </w:rPr>
      </w:pPr>
    </w:p>
    <w:p w14:paraId="12C28019" w14:textId="350E27E3" w:rsidR="00F50311" w:rsidRPr="00D168C3" w:rsidRDefault="00056BFF" w:rsidP="00AF188C">
      <w:pPr>
        <w:spacing w:after="0"/>
        <w:jc w:val="both"/>
        <w:rPr>
          <w:rFonts w:cs="Arial"/>
        </w:rPr>
      </w:pPr>
      <w:r w:rsidRPr="00D168C3">
        <w:rPr>
          <w:rFonts w:cs="Arial"/>
        </w:rPr>
        <w:t>Zu Nummer 1 bis 3:</w:t>
      </w:r>
    </w:p>
    <w:p w14:paraId="104FECBB" w14:textId="28AEF566" w:rsidR="00056BFF" w:rsidRPr="00D168C3" w:rsidRDefault="00056BFF" w:rsidP="00AF188C">
      <w:pPr>
        <w:spacing w:after="0"/>
        <w:jc w:val="both"/>
        <w:rPr>
          <w:rFonts w:cs="Arial"/>
        </w:rPr>
      </w:pPr>
      <w:r w:rsidRPr="00D168C3">
        <w:rPr>
          <w:rFonts w:cs="Arial"/>
        </w:rPr>
        <w:t>Die Änderungen dienen der Entbürokratisierung und Verwaltungsmodernisierung. Sie sollen Beamtinnen und Beamten den Zugang zu dem Aufstieg in den gehobenen Dienst erleichtern.</w:t>
      </w:r>
    </w:p>
    <w:p w14:paraId="396A4F1C" w14:textId="5CB85E3C" w:rsidR="00056BFF" w:rsidRPr="00D168C3" w:rsidRDefault="00056BFF" w:rsidP="00AF188C">
      <w:pPr>
        <w:spacing w:after="0"/>
        <w:jc w:val="both"/>
        <w:rPr>
          <w:rFonts w:cs="Arial"/>
        </w:rPr>
      </w:pPr>
      <w:r w:rsidRPr="00D168C3">
        <w:rPr>
          <w:rFonts w:cs="Arial"/>
        </w:rPr>
        <w:t xml:space="preserve">Die Änderung des § 4 </w:t>
      </w:r>
      <w:r w:rsidR="001E1039">
        <w:rPr>
          <w:rFonts w:cs="Arial"/>
        </w:rPr>
        <w:t xml:space="preserve">Absatz </w:t>
      </w:r>
      <w:r w:rsidRPr="00D168C3">
        <w:rPr>
          <w:rFonts w:cs="Arial"/>
        </w:rPr>
        <w:t>1 Nr. 4 ist erforderlich, weil die bisherige Regelung noch auf den außer Kraft gesetzten § 8a ALVO M-V verweist, der zwischenzeitlich durch § 18a LBG M-V ersetzt worden ist.</w:t>
      </w:r>
    </w:p>
    <w:p w14:paraId="5BD1C896" w14:textId="77777777" w:rsidR="005B4591" w:rsidRPr="00D168C3" w:rsidRDefault="005B4591" w:rsidP="00AF188C">
      <w:pPr>
        <w:spacing w:after="0"/>
        <w:jc w:val="both"/>
        <w:rPr>
          <w:rFonts w:cs="Arial"/>
        </w:rPr>
      </w:pPr>
    </w:p>
    <w:p w14:paraId="225F3914" w14:textId="77777777" w:rsidR="002F3B2E" w:rsidRPr="00D168C3" w:rsidRDefault="002F3B2E" w:rsidP="00AF188C">
      <w:pPr>
        <w:pStyle w:val="Listenabsatz"/>
        <w:numPr>
          <w:ilvl w:val="0"/>
          <w:numId w:val="7"/>
        </w:numPr>
        <w:jc w:val="both"/>
        <w:rPr>
          <w:rFonts w:cs="Arial"/>
          <w:b/>
          <w:bCs/>
        </w:rPr>
      </w:pPr>
    </w:p>
    <w:p w14:paraId="10546E99" w14:textId="58059149" w:rsidR="008D65FF" w:rsidRPr="00D168C3" w:rsidRDefault="002F3B2E" w:rsidP="00AF188C">
      <w:pPr>
        <w:jc w:val="both"/>
        <w:rPr>
          <w:rFonts w:cs="Arial"/>
        </w:rPr>
      </w:pPr>
      <w:r w:rsidRPr="00D168C3">
        <w:rPr>
          <w:rFonts w:cs="Arial"/>
        </w:rPr>
        <w:t>Soweit von den Bewerbern ein Identitätsnachweis zu erbringen ist, sind auch andere amtliche Dokumente wie Personalausweis oder Pass zum Nachweis geeignet. Da ein entsprechendes amtliches Dokument jeder besitzt, entfallen Aufwand und Kosten für die Beschaffung einer Geburtsurkunde. Dies entlastet gleichzeitig die Verwaltung.</w:t>
      </w:r>
    </w:p>
    <w:p w14:paraId="79A6930F" w14:textId="77777777" w:rsidR="002F3B2E" w:rsidRPr="00D168C3" w:rsidRDefault="002F3B2E" w:rsidP="00AF188C">
      <w:pPr>
        <w:pStyle w:val="Listenabsatz"/>
        <w:numPr>
          <w:ilvl w:val="0"/>
          <w:numId w:val="7"/>
        </w:numPr>
        <w:jc w:val="both"/>
        <w:rPr>
          <w:rFonts w:cs="Arial"/>
          <w:b/>
          <w:bCs/>
        </w:rPr>
      </w:pPr>
    </w:p>
    <w:p w14:paraId="66F3BD15" w14:textId="19AAF33E" w:rsidR="002F3B2E" w:rsidRPr="00D168C3" w:rsidRDefault="002F3B2E" w:rsidP="00AF188C">
      <w:pPr>
        <w:jc w:val="both"/>
        <w:rPr>
          <w:rFonts w:cs="Arial"/>
        </w:rPr>
      </w:pPr>
      <w:r w:rsidRPr="00D168C3">
        <w:rPr>
          <w:rFonts w:cs="Arial"/>
        </w:rPr>
        <w:t xml:space="preserve">Der Ergänzungsvorschlag ist darauf gerichtet, die bereits im Bundesfernstraßengesetz vollzogene Rechtsänderung, namentlich § 9 </w:t>
      </w:r>
      <w:r w:rsidR="001E1039">
        <w:rPr>
          <w:rFonts w:cs="Arial"/>
        </w:rPr>
        <w:t xml:space="preserve">Absatz </w:t>
      </w:r>
      <w:r w:rsidRPr="00D168C3">
        <w:rPr>
          <w:rFonts w:cs="Arial"/>
        </w:rPr>
        <w:t>1 Satz 3 FStrG, in das Landesrecht zu übernehmen. Demnach soll die Errichtung von Mobilfunkmasten und sonstigen funktechnischen Einrichtungen im Sinne von § 3 Nummer 64 Telekommunikationsgesetz, nicht mehr unter das repressive Anbauverbot des § 31 fallen, von dem nur ausnahmsweise, nämlich im Falle des Absatz 3, abgewichen werden kann. Demnach soll die Errichtung von Mobilfunkmasten und sonstigen funktechnischen Einrichtungen im Sinne von</w:t>
      </w:r>
      <w:r w:rsidR="001E529E">
        <w:rPr>
          <w:rFonts w:cs="Arial"/>
        </w:rPr>
        <w:t xml:space="preserve"> </w:t>
      </w:r>
      <w:r w:rsidRPr="00D168C3">
        <w:rPr>
          <w:rFonts w:cs="Arial"/>
        </w:rPr>
        <w:t>§ 3 Nummer 64 Telekommunikationsgesetz unter dem Zustimmungsvorbehalt des § 32 im Anbaubeschränkungsbereich stehen. Die Zustimmung des Trägers der Straßenbaulast zur Errichtung eines Mobilfunkmastes muss auch in der bisherigen Anbauverbotszone erteilt werden, wenn nicht wichtige Gründe dagegensprechen. Die Anbaubeschränkungen dienen der Verkehrssicherheit und der Sicherung von zukünftigen Erweiterungen oder Umgestaltungen des Straßenkörpers. Gründe gegen eine Zustimmung könnten beispielsweise die Sicherheit des Verkehrs, Ausbauabsichten oder die Straßenbaugestaltung sein, wobei darauf hinzuweisen ist, dass vor der Versagung als milderes Mittel vorrangig Bedingungen oder Auflagen zu prüfen sind, um einen Ausbau möglichst zu realisieren. Hierzu gehört im Falle des Versagungsgrundes „Ausbauabsicht“ beispielsweise die Verlegung der Telekommunikationsinfrastruktur, da Ausbaumaßnahmen in der Regel über langfristige Zeiträume realisiert werden.</w:t>
      </w:r>
    </w:p>
    <w:p w14:paraId="67EEDC0F" w14:textId="77777777" w:rsidR="0028031A" w:rsidRPr="00D168C3" w:rsidRDefault="0028031A" w:rsidP="00AF188C">
      <w:pPr>
        <w:pStyle w:val="Listenabsatz"/>
        <w:numPr>
          <w:ilvl w:val="0"/>
          <w:numId w:val="7"/>
        </w:numPr>
        <w:jc w:val="both"/>
        <w:rPr>
          <w:rFonts w:cs="Arial"/>
          <w:b/>
          <w:bCs/>
        </w:rPr>
      </w:pPr>
    </w:p>
    <w:p w14:paraId="46E8B183" w14:textId="75336985" w:rsidR="0028031A" w:rsidRPr="00D168C3" w:rsidRDefault="0028031A" w:rsidP="00AF188C">
      <w:pPr>
        <w:spacing w:after="0"/>
        <w:jc w:val="both"/>
        <w:rPr>
          <w:rFonts w:cs="Arial"/>
        </w:rPr>
      </w:pPr>
      <w:r w:rsidRPr="00847AB7">
        <w:rPr>
          <w:rFonts w:cs="Arial"/>
        </w:rPr>
        <w:t xml:space="preserve">Zu Nummer </w:t>
      </w:r>
      <w:r w:rsidR="00477FC5" w:rsidRPr="00847AB7">
        <w:rPr>
          <w:rFonts w:cs="Arial"/>
        </w:rPr>
        <w:t>2</w:t>
      </w:r>
      <w:r w:rsidRPr="00847AB7">
        <w:rPr>
          <w:rFonts w:cs="Arial"/>
        </w:rPr>
        <w:t>:</w:t>
      </w:r>
    </w:p>
    <w:p w14:paraId="1AC39A03" w14:textId="12369ED6" w:rsidR="0028031A" w:rsidRPr="00D168C3" w:rsidRDefault="00477FC5" w:rsidP="00847AB7">
      <w:pPr>
        <w:jc w:val="both"/>
        <w:rPr>
          <w:rFonts w:cs="Arial"/>
        </w:rPr>
      </w:pPr>
      <w:r w:rsidRPr="00D168C3">
        <w:rPr>
          <w:rFonts w:cs="Arial"/>
          <w:bCs/>
        </w:rPr>
        <w:t xml:space="preserve">§ 42a Absatz 1 Satz 1 VwVfG M-V </w:t>
      </w:r>
      <w:r w:rsidR="0004442B" w:rsidRPr="00D168C3">
        <w:rPr>
          <w:rFonts w:cs="Arial"/>
          <w:bCs/>
        </w:rPr>
        <w:t xml:space="preserve">soll </w:t>
      </w:r>
      <w:r w:rsidRPr="00D168C3">
        <w:rPr>
          <w:rFonts w:cs="Arial"/>
          <w:bCs/>
        </w:rPr>
        <w:t>keine Anwendung finde</w:t>
      </w:r>
      <w:r w:rsidR="0004442B" w:rsidRPr="00D168C3">
        <w:rPr>
          <w:rFonts w:cs="Arial"/>
          <w:bCs/>
        </w:rPr>
        <w:t>n, da es sich b</w:t>
      </w:r>
      <w:r w:rsidRPr="00D168C3">
        <w:rPr>
          <w:rFonts w:cs="Arial"/>
          <w:bCs/>
        </w:rPr>
        <w:t>ei den benannten Genehmigungen regelmäßig um komplexe Verfahren</w:t>
      </w:r>
      <w:r w:rsidR="0004442B" w:rsidRPr="00D168C3">
        <w:rPr>
          <w:rFonts w:cs="Arial"/>
          <w:bCs/>
        </w:rPr>
        <w:t xml:space="preserve"> handelt</w:t>
      </w:r>
      <w:r w:rsidRPr="00D168C3">
        <w:rPr>
          <w:rFonts w:cs="Arial"/>
          <w:bCs/>
        </w:rPr>
        <w:t xml:space="preserve">, von denen häufig mehrere Eigentümer und andere Fachbehörden (u.a. Untere Naturschutz-, Denkmalschutz- und Wasserbehörden, Gemeinden, das Landesamt für Umwelt, Naturschutz und Geologie) betroffen sind. Die Verfahren berühren häufig sensible Schutzgüter und können weitreichende Auswirkungen haben. Deshalb sind intensive Abstimmungen zwischen allen Beteiligten und ggf. Änderungen der Antragsunterlagen notwendig, so dass vom Zeitpunkt der Antragstellung </w:t>
      </w:r>
      <w:r w:rsidRPr="00D168C3">
        <w:rPr>
          <w:rFonts w:cs="Arial"/>
          <w:bCs/>
        </w:rPr>
        <w:lastRenderedPageBreak/>
        <w:t xml:space="preserve">bis zum abschließenden Bescheid in der Regel mehr als drei Monate vergehen. Bei der Einführung der Genehmigungsfiktion stünde zu befürchten, dass durch die Fiktion Genehmigungen erteilt werden, die bei ordnungsgemäßer Prüfung nicht erteilt werden könnten. Die weiteren im Landeswaldgesetz enthaltenen Vorschriften zu Genehmigungen sollen hingegen der Genehmigungsfiktion unterliegen. </w:t>
      </w:r>
    </w:p>
    <w:p w14:paraId="35CD5919" w14:textId="7D4A8AAF" w:rsidR="0028031A" w:rsidRPr="00D168C3" w:rsidRDefault="0028031A" w:rsidP="00AF188C">
      <w:pPr>
        <w:spacing w:after="0"/>
        <w:jc w:val="both"/>
        <w:rPr>
          <w:rFonts w:cs="Arial"/>
        </w:rPr>
      </w:pPr>
      <w:r w:rsidRPr="00D168C3">
        <w:rPr>
          <w:rFonts w:cs="Arial"/>
        </w:rPr>
        <w:t xml:space="preserve">Zu Nummer </w:t>
      </w:r>
      <w:r w:rsidR="00477FC5" w:rsidRPr="00D168C3">
        <w:rPr>
          <w:rFonts w:cs="Arial"/>
        </w:rPr>
        <w:t>3</w:t>
      </w:r>
      <w:r w:rsidRPr="00D168C3">
        <w:rPr>
          <w:rFonts w:cs="Arial"/>
        </w:rPr>
        <w:t>:</w:t>
      </w:r>
    </w:p>
    <w:p w14:paraId="3B6CB8E5" w14:textId="710DD7FC" w:rsidR="005A229F" w:rsidRPr="00D168C3" w:rsidRDefault="0028031A" w:rsidP="00AF188C">
      <w:pPr>
        <w:jc w:val="both"/>
        <w:rPr>
          <w:rFonts w:cs="Arial"/>
        </w:rPr>
      </w:pPr>
      <w:r w:rsidRPr="00D168C3">
        <w:rPr>
          <w:rFonts w:cs="Arial"/>
        </w:rPr>
        <w:t xml:space="preserve">Bisher regelt § 15, dass Wald nur mit vorheriger Genehmigung der Forstbehörden gerodet und in eine andere Nutzungsart überführt werden (Umwandlung). Einer Genehmigung bedarf es nicht, soweit Regelungen in einem Bebauungsplan oder einer städtebaulichen Satzung eine andere Nutzung vorsehen, zum Zeitpunkt des Satzungsbeschlusses kein Wald nach § 2 bestand und seit dem Satzungsbeschluss weniger als zehn Jahre vergangen sind. Problematisch war dies bei Vorhaben, die aber auch nicht nach zehn Jahren umgesetzt werden konnten (z.B. wegen langwierigen Klageverfahren). Durch die Einfügung des neuen Satzes 3 werden Flächen, die auch nach zehn Jahren noch nicht bebaut worden sind, den Flächen gleichgestellt, für die eine Umwandlungserklärung nach § 15a </w:t>
      </w:r>
      <w:r w:rsidR="001E1039">
        <w:rPr>
          <w:rFonts w:cs="Arial"/>
        </w:rPr>
        <w:t xml:space="preserve">Absatz </w:t>
      </w:r>
      <w:r w:rsidRPr="00D168C3">
        <w:rPr>
          <w:rFonts w:cs="Arial"/>
        </w:rPr>
        <w:t>2 erteilt wurde. Dann darf die Umwandlungsgenehmigung nur versagt werden, wenn zum Zeitpunkt der Antragstellung eine wesentliche Änderung der Sachlage eingetreten ist oder zwingende Gründe des öffentlichen Interesses eine Versagung rechtfertigen. Durch die Neuregelung wird zum einen naturschutzrechtlichen Belangen entsprochen, zum anderen aber die Forstbehörde einer Selbstbindung unterworfen, was der Rechtssicherheit für die Gemeinden dient.</w:t>
      </w:r>
    </w:p>
    <w:p w14:paraId="4B69C82B" w14:textId="46AB5577" w:rsidR="0079171F" w:rsidRPr="00D168C3" w:rsidRDefault="0079171F" w:rsidP="0079171F">
      <w:pPr>
        <w:spacing w:after="0"/>
        <w:jc w:val="both"/>
        <w:rPr>
          <w:rFonts w:cs="Arial"/>
        </w:rPr>
      </w:pPr>
      <w:r w:rsidRPr="00847AB7">
        <w:rPr>
          <w:rFonts w:cs="Arial"/>
        </w:rPr>
        <w:t>Zu Nummer 4:</w:t>
      </w:r>
    </w:p>
    <w:p w14:paraId="35FA90AB" w14:textId="59F6358C" w:rsidR="0079171F" w:rsidRPr="00D168C3" w:rsidRDefault="0079171F" w:rsidP="00AF188C">
      <w:pPr>
        <w:jc w:val="both"/>
        <w:rPr>
          <w:rFonts w:cs="Arial"/>
        </w:rPr>
      </w:pPr>
      <w:r w:rsidRPr="00D168C3">
        <w:rPr>
          <w:rFonts w:cs="Arial"/>
        </w:rPr>
        <w:t>§ 26 sieht bisher ein Vorkaufsrecht des Landes für Flächen, die ganz oder teilweise im oder am landeseigenen Wald liegt. Als Grundlage für die Prüfung der Ausübung des Vorkaufsrechts veröffentlicht die oberste Forstbehörde eine Flächenkulisse. Diese Flächenkulisse ist nicht erstellt worden. Es besteht auch kein Interesse des Landes an solchen Vorkäufen. Das Vorkaufsrecht wurde daher nie ausgeübt.</w:t>
      </w:r>
    </w:p>
    <w:p w14:paraId="6D0C6E53" w14:textId="77777777" w:rsidR="0028031A" w:rsidRPr="00D168C3" w:rsidRDefault="0028031A" w:rsidP="00AF188C">
      <w:pPr>
        <w:pStyle w:val="Listenabsatz"/>
        <w:numPr>
          <w:ilvl w:val="0"/>
          <w:numId w:val="7"/>
        </w:numPr>
        <w:jc w:val="both"/>
        <w:rPr>
          <w:rFonts w:cs="Arial"/>
          <w:b/>
          <w:bCs/>
        </w:rPr>
      </w:pPr>
    </w:p>
    <w:p w14:paraId="18065F48" w14:textId="77777777" w:rsidR="0026092A" w:rsidRPr="00D168C3" w:rsidRDefault="0026092A" w:rsidP="00AF188C">
      <w:pPr>
        <w:spacing w:after="0"/>
        <w:jc w:val="both"/>
        <w:rPr>
          <w:rFonts w:cs="Arial"/>
        </w:rPr>
      </w:pPr>
      <w:r w:rsidRPr="00D168C3">
        <w:rPr>
          <w:rFonts w:cs="Arial"/>
        </w:rPr>
        <w:t>Zu Nummer 1 und 2:</w:t>
      </w:r>
    </w:p>
    <w:p w14:paraId="6CD4ECA5" w14:textId="082E2901" w:rsidR="0026092A" w:rsidRPr="00D168C3" w:rsidRDefault="0026092A" w:rsidP="00AF188C">
      <w:pPr>
        <w:jc w:val="both"/>
        <w:rPr>
          <w:rFonts w:cs="Arial"/>
        </w:rPr>
      </w:pPr>
      <w:r w:rsidRPr="00D168C3">
        <w:rPr>
          <w:rFonts w:cs="Arial"/>
        </w:rPr>
        <w:t>Die Vorschrift regelte die Genehmigung für Errichtung, Betrieb und wesentliche Änderung von Deponien. Es handelt sich um redundantes und teilweise überholtes Landesrecht, welches zum Teil lediglich Bundesrecht wiedergibt und zum Teil mittl</w:t>
      </w:r>
      <w:r w:rsidR="001E529E">
        <w:rPr>
          <w:rFonts w:cs="Arial"/>
        </w:rPr>
        <w:t>er</w:t>
      </w:r>
      <w:r w:rsidRPr="00D168C3">
        <w:rPr>
          <w:rFonts w:cs="Arial"/>
        </w:rPr>
        <w:t>weile auch im Konflikt zum Bundesrecht steht (vgl. § 19 Deponieverordnung). Die Norm ist daher gemäß Art. 31 GG unanwendbar und zu streichen. Eine neue landesrechtliche Genehmigungsfiktion würde den Konflikt zum Bunde</w:t>
      </w:r>
      <w:r w:rsidR="001E529E">
        <w:rPr>
          <w:rFonts w:cs="Arial"/>
        </w:rPr>
        <w:t>s</w:t>
      </w:r>
      <w:r w:rsidRPr="00D168C3">
        <w:rPr>
          <w:rFonts w:cs="Arial"/>
        </w:rPr>
        <w:t>recht noch verstärken.</w:t>
      </w:r>
    </w:p>
    <w:p w14:paraId="08509F3C" w14:textId="2C3C2F7A" w:rsidR="0026092A" w:rsidRPr="00D168C3" w:rsidRDefault="0026092A" w:rsidP="00AF188C">
      <w:pPr>
        <w:spacing w:after="0"/>
        <w:jc w:val="both"/>
        <w:rPr>
          <w:rFonts w:cs="Arial"/>
        </w:rPr>
      </w:pPr>
      <w:r w:rsidRPr="00D168C3">
        <w:rPr>
          <w:rFonts w:cs="Arial"/>
        </w:rPr>
        <w:t>Zu Nummer 3:</w:t>
      </w:r>
    </w:p>
    <w:p w14:paraId="1BF621E8" w14:textId="7BA850D4" w:rsidR="0026092A" w:rsidRPr="00D168C3" w:rsidRDefault="0026092A" w:rsidP="00AF188C">
      <w:pPr>
        <w:jc w:val="both"/>
        <w:rPr>
          <w:rFonts w:cs="Arial"/>
        </w:rPr>
      </w:pPr>
      <w:r w:rsidRPr="00D168C3">
        <w:rPr>
          <w:rFonts w:cs="Arial"/>
        </w:rPr>
        <w:t>Die Vorschrift regelt die Zustimmung zur Inbetriebnahme der Deponie oder Teile der Deponie vor einer Abnahme. Es handelt sich um redundantes und teilweise überholtes Landesrecht, welches zum Teil lediglich Bundesrecht wiedergibt und zum Teil mittl</w:t>
      </w:r>
      <w:r w:rsidR="001E529E">
        <w:rPr>
          <w:rFonts w:cs="Arial"/>
        </w:rPr>
        <w:t>er</w:t>
      </w:r>
      <w:r w:rsidRPr="00D168C3">
        <w:rPr>
          <w:rFonts w:cs="Arial"/>
        </w:rPr>
        <w:t>weile auch im Konflikt zum Bundesrecht steht (vgl. § 5 Deponieverordnung). Die Norm ist daher gemäß Art. 31 GG unanwendbar und zu streichen. Die neue landesrechtliche Genehmigungsfiktion würde den Konflikt zum Bunde</w:t>
      </w:r>
      <w:r w:rsidR="001E529E">
        <w:rPr>
          <w:rFonts w:cs="Arial"/>
        </w:rPr>
        <w:t>s</w:t>
      </w:r>
      <w:r w:rsidRPr="00D168C3">
        <w:rPr>
          <w:rFonts w:cs="Arial"/>
        </w:rPr>
        <w:t>recht noch verstärken.</w:t>
      </w:r>
    </w:p>
    <w:p w14:paraId="6BF47730" w14:textId="77777777" w:rsidR="0026092A" w:rsidRPr="00D168C3" w:rsidRDefault="0026092A" w:rsidP="00AF188C">
      <w:pPr>
        <w:pStyle w:val="Listenabsatz"/>
        <w:numPr>
          <w:ilvl w:val="0"/>
          <w:numId w:val="7"/>
        </w:numPr>
        <w:jc w:val="both"/>
        <w:rPr>
          <w:rFonts w:cs="Arial"/>
          <w:b/>
          <w:bCs/>
        </w:rPr>
      </w:pPr>
    </w:p>
    <w:p w14:paraId="7279ABB7" w14:textId="1223553C" w:rsidR="00A14CF3" w:rsidRPr="00D168C3" w:rsidRDefault="00A14CF3" w:rsidP="00AF188C">
      <w:pPr>
        <w:spacing w:after="0"/>
        <w:jc w:val="both"/>
        <w:rPr>
          <w:rFonts w:cs="Arial"/>
        </w:rPr>
      </w:pPr>
      <w:r w:rsidRPr="00847AB7">
        <w:rPr>
          <w:rFonts w:cs="Arial"/>
        </w:rPr>
        <w:t>Zu Nummer 1 und 3:</w:t>
      </w:r>
    </w:p>
    <w:p w14:paraId="18FA954E" w14:textId="77777777" w:rsidR="0034224C" w:rsidRPr="00D168C3" w:rsidRDefault="0034224C" w:rsidP="0034224C">
      <w:pPr>
        <w:spacing w:after="0"/>
        <w:jc w:val="both"/>
        <w:rPr>
          <w:rFonts w:cs="Arial"/>
        </w:rPr>
      </w:pPr>
      <w:r w:rsidRPr="00D168C3">
        <w:rPr>
          <w:rFonts w:cs="Arial"/>
        </w:rPr>
        <w:t>Klarstellung aufgrund der Regelung in § 3a VwVfG M-V.</w:t>
      </w:r>
    </w:p>
    <w:p w14:paraId="18290922" w14:textId="77777777" w:rsidR="0034224C" w:rsidRPr="00D168C3" w:rsidRDefault="0034224C" w:rsidP="00AF188C">
      <w:pPr>
        <w:spacing w:after="0"/>
        <w:jc w:val="both"/>
        <w:rPr>
          <w:rFonts w:cs="Arial"/>
        </w:rPr>
      </w:pPr>
    </w:p>
    <w:p w14:paraId="179B420A" w14:textId="15A19263" w:rsidR="0028031A" w:rsidRPr="00D168C3" w:rsidRDefault="0028031A" w:rsidP="00AF188C">
      <w:pPr>
        <w:spacing w:after="0"/>
        <w:jc w:val="both"/>
        <w:rPr>
          <w:rFonts w:cs="Arial"/>
        </w:rPr>
      </w:pPr>
      <w:r w:rsidRPr="00D168C3">
        <w:rPr>
          <w:rFonts w:cs="Arial"/>
        </w:rPr>
        <w:t xml:space="preserve">Zu Nummer </w:t>
      </w:r>
      <w:r w:rsidR="00A14CF3" w:rsidRPr="00D168C3">
        <w:rPr>
          <w:rFonts w:cs="Arial"/>
        </w:rPr>
        <w:t>2</w:t>
      </w:r>
      <w:r w:rsidRPr="00D168C3">
        <w:rPr>
          <w:rFonts w:cs="Arial"/>
        </w:rPr>
        <w:t>:</w:t>
      </w:r>
    </w:p>
    <w:p w14:paraId="23AA170E" w14:textId="16B011F0" w:rsidR="0028031A" w:rsidRPr="00D168C3" w:rsidRDefault="0028031A" w:rsidP="00AF188C">
      <w:pPr>
        <w:spacing w:after="0"/>
        <w:jc w:val="both"/>
        <w:rPr>
          <w:rFonts w:cs="Arial"/>
        </w:rPr>
      </w:pPr>
      <w:r w:rsidRPr="00D168C3">
        <w:rPr>
          <w:rFonts w:cs="Arial"/>
        </w:rPr>
        <w:t>Die Änderung dient der Deregulierung im Bereich des Biotop- und Geotopschutzes. Die erforderliche Zulassung einer Ausnahme vom Verbot von Maßnahmen, die zu einer Zerstörung, Beschädigung, Veränderung des charakteristischen Zustandes oder sonstigen erheblichen oder nachhaltigen Beeinträchtigung von Biotopen und Geotopen führen, soll für den Fall, dass Biotope oder Geotope nach dem Inkrafttreten eines Bebauungsplans entstanden sind und eine nach dem Bebauungsplan zulässige Nutzung verwirklicht werden soll, durch eine Anzeigepflicht ersetzt werden. Die Regelung wirkt sich insbesondere nicht auf artenschutzrechtliche Einschränkungen aus. Diese gelten uneingeschränkt fort.</w:t>
      </w:r>
    </w:p>
    <w:p w14:paraId="5FE3FEE1" w14:textId="77777777" w:rsidR="0028031A" w:rsidRPr="00D168C3" w:rsidRDefault="0028031A" w:rsidP="00AF188C">
      <w:pPr>
        <w:spacing w:after="0"/>
        <w:jc w:val="both"/>
        <w:rPr>
          <w:rFonts w:cs="Arial"/>
        </w:rPr>
      </w:pPr>
    </w:p>
    <w:p w14:paraId="3B313509" w14:textId="5BB5F77F" w:rsidR="0028031A" w:rsidRPr="00D168C3" w:rsidRDefault="0028031A" w:rsidP="00AF188C">
      <w:pPr>
        <w:spacing w:after="0"/>
        <w:jc w:val="both"/>
        <w:rPr>
          <w:rFonts w:cs="Arial"/>
        </w:rPr>
      </w:pPr>
      <w:r w:rsidRPr="00847AB7">
        <w:rPr>
          <w:rFonts w:cs="Arial"/>
        </w:rPr>
        <w:t xml:space="preserve">Zu Nummer </w:t>
      </w:r>
      <w:r w:rsidR="0034224C" w:rsidRPr="00847AB7">
        <w:rPr>
          <w:rFonts w:cs="Arial"/>
        </w:rPr>
        <w:t>4</w:t>
      </w:r>
      <w:r w:rsidRPr="00847AB7">
        <w:rPr>
          <w:rFonts w:cs="Arial"/>
        </w:rPr>
        <w:t>:</w:t>
      </w:r>
    </w:p>
    <w:p w14:paraId="6BD56A5F" w14:textId="32A827EB" w:rsidR="003552BC" w:rsidRPr="00D168C3" w:rsidRDefault="003552BC" w:rsidP="00AF188C">
      <w:pPr>
        <w:jc w:val="both"/>
        <w:rPr>
          <w:rFonts w:cs="Arial"/>
        </w:rPr>
      </w:pPr>
      <w:r w:rsidRPr="00D168C3">
        <w:rPr>
          <w:rFonts w:cs="Arial"/>
        </w:rPr>
        <w:t>Naturschutzgenehmigungen betreffen regelmäßig hochwertige Schutzgüter von Verfassungsrang (Art. 20a GG) sowie unionsrechtlich besonders geschützte Lebensräume und Arten. Die Entscheidung setzt eine umfassende fachliche Prüfung und eine sorgfältige Abwägung zwischen Naturschutzbelangen, Eigentumsinteressen (Art. 14 GG) sowie sonstigen Gemeinwohlbelangen voraus. Sie erfordert regelmäßig naturschutzfachliche Gutachten, artenschutzrechtliche Bewertungen, FFH-Verträglichkeitsprüfungen, Alternativenprüfungen sowie die Festlegung geeigneter Vermeidungs-, Minderungs- und Ausgleichsmaßnahmen. Eine Genehmigungsfiktion würde demgegenüber dazu führen, dass eine Zulassung allein durch Fristablauf eintritt, ohne dass die erforderliche materielle Prüfung abgeschlossen und die gebotene Abwägungsentscheidung getroffen wurde. Dies würde die unionsrechtlich zwingend vorgeschriebene Verträglichkeitsprüfung faktisch unterlaufen. Zudem sind Eingriffe in Natur und Landschaft häufig irreversibel oder nur mit erheblichem Aufwand kompensierbar. Eine fingierte Genehmigung könnte zur Durchführung eines Vorhabens führen, bevor Schutzauflagen oder Kompensationsmaßnahmen festgelegt wurden. Nebenbestimmungen sind im Naturschutzrecht regelmäßig wesentlicher Bestandteil der Genehmigung. Eine Genehmigungsfiktion würde typischerweise ohne solche Konkretisierungen eintreten und damit den materiellen Schutzstandard erheblich beeinträchtigen. Schließlich würde die Genehmigungsfiktion zu erheblicher Rechtsunsicherheit führen. Der Umfang einer fingierten Genehmigung sowie die Reichweite zulässiger Maßnahmen wären häufig unklar. Eine nachträgliche Rücknahme oder ein Widerruf wäre rechtlich und tatsächlich oft nicht geeignet, bereits eingetretene ökologische Schäden zu beseitigen. Vor diesem Hintergrund ist der Ausschluss der Genehmigungsfiktion zur Wahrung des verfassungsrechtlich gebotenen Schutzes von Natur und Umwelt, zur Einhaltung unionsrechtlicher Verpflichtungen sowie zur Sicherstellung rechtssicherer und fachlich fundierter Entscheidungen erforderlich.</w:t>
      </w:r>
    </w:p>
    <w:p w14:paraId="0188ED48" w14:textId="77777777" w:rsidR="0028031A" w:rsidRPr="00D168C3" w:rsidRDefault="0028031A" w:rsidP="00AF188C">
      <w:pPr>
        <w:pStyle w:val="Listenabsatz"/>
        <w:numPr>
          <w:ilvl w:val="0"/>
          <w:numId w:val="7"/>
        </w:numPr>
        <w:jc w:val="both"/>
        <w:rPr>
          <w:rFonts w:cs="Arial"/>
          <w:b/>
          <w:bCs/>
        </w:rPr>
      </w:pPr>
    </w:p>
    <w:p w14:paraId="790EBF7E" w14:textId="47208057" w:rsidR="0028031A" w:rsidRPr="00D168C3" w:rsidRDefault="0028031A" w:rsidP="00AF188C">
      <w:pPr>
        <w:spacing w:after="0"/>
        <w:jc w:val="both"/>
        <w:rPr>
          <w:rFonts w:cs="Arial"/>
        </w:rPr>
      </w:pPr>
      <w:r w:rsidRPr="00847AB7">
        <w:rPr>
          <w:rFonts w:cs="Arial"/>
        </w:rPr>
        <w:t>Zu Nummer 2 Buchstabe b:</w:t>
      </w:r>
    </w:p>
    <w:p w14:paraId="79F444E2" w14:textId="373BED3D" w:rsidR="003552BC" w:rsidRPr="00D168C3" w:rsidRDefault="003552BC" w:rsidP="00AF188C">
      <w:pPr>
        <w:jc w:val="both"/>
        <w:rPr>
          <w:rFonts w:cs="Arial"/>
        </w:rPr>
      </w:pPr>
      <w:r w:rsidRPr="00D168C3">
        <w:rPr>
          <w:rFonts w:cs="Arial"/>
        </w:rPr>
        <w:t xml:space="preserve">Jagdrechtliche Entscheidungen sind regelmäßig komplexe Einzelfallentscheidungen, die eine umfassende Sachverhaltsaufklärung sowie eine differenzierte Abwägung widerstreitender Interessen erfordern. Neben Belangen der Jagdausübung sind insbesondere Aspekte des Tierschutzes, des Natur- und Artenschutzes, des Eigentumsschutzes (Art. 14 GG), der Land- und Forstwirtschaft sowie der öffentlichen Sicherheit zu berücksichtigen. Jagdrechtliche Genehmigungen werden in der Praxis regelmäßig nicht vorbehaltlos erteilt, sondern mit Nebenbestimmungen versehen. Diese Nebenbestimmungen sind regelmäßig nicht lediglich ergänzender Natur, sondern integraler Bestandteil der Entscheidung. Sie dienen der </w:t>
      </w:r>
      <w:r w:rsidRPr="00D168C3">
        <w:rPr>
          <w:rFonts w:cs="Arial"/>
        </w:rPr>
        <w:lastRenderedPageBreak/>
        <w:t>Begrenzung von Risiken, der Wahrung tierschutzrechtlicher und naturschutzrechtlicher Belange sowie der Sicherstellung eines rechtmäßigen Vollzugs. Eine Genehmigungsfiktion würde typischerweise ohne solche Nebenbestimmungen eintreten. Die Behörde hätte keine Möglichkeit, die erforderlichen Einschränkungen oder Auflagen rechtzeitig festzulegen. Damit bestünde die Gefahr, dass jagdliche Maßnahmen in einem Umfang durchgeführt werden, der bei ordnungsgemäßer Prüfung nicht genehmigungsfähig gewesen wäre. Die Annahme, fehlerhafte Folgen einer Genehmigungsfiktion könnten durch Rücknahme oder Widerruf korrigiert werden, trägt im Jagdrecht regelmäßig nicht. Zum einen unterliegen Rücknahme und Widerruf den Voraussetzungen der §§ 48 und 49 VwVfG. Hierbei sind insbesondere Vertrauensschutzgesichtspunkte zu berücksichtigen. Hat der Begünstigte auf den Bestand der fingierten Genehmigung vertraut und Dispositionen getroffen, ist eine Rücknahme rechtlich nur eingeschränkt möglich oder mit Entschädigungsansprüchen verbunden. Zum anderen sind jagdliche Maßnahmen häufig faktisch irreversibel. Abschüsse, Fangmaßnahmen oder Eingriffe in Wildbestände können nicht rückgängig gemacht werden. Auch Störungen in sensiblen Zeiträumen (z. B. Setz- oder Brutzeiten) entfalten nachhaltige Auswirkungen. Ein nachträglicher Widerruf könnte eingetretene ökologische oder tierschutzrechtliche Folgen nicht mehr beseitigen. Zudem würde eine nachträgliche Rücknahme oder ein Widerruf regelmäßig zu erheblicher Rechtsunsicherheit führen. Streitigkeiten über den Umfang der fingierten Genehmigung sowie über Ersatz- oder Entschädigungsansprüche wären zu erwarten. Der Ausschluss der Genehmigungsfiktion ist daher zur Sicherstellung rechtmäßiger, fachlich fundierter und vollzugstauglicher Entscheidungen erforderlich.</w:t>
      </w:r>
    </w:p>
    <w:p w14:paraId="2F71192B" w14:textId="77777777" w:rsidR="00482036" w:rsidRPr="00D168C3" w:rsidRDefault="00482036" w:rsidP="00AF188C">
      <w:pPr>
        <w:pStyle w:val="Listenabsatz"/>
        <w:numPr>
          <w:ilvl w:val="0"/>
          <w:numId w:val="7"/>
        </w:numPr>
        <w:jc w:val="both"/>
        <w:rPr>
          <w:rFonts w:cs="Arial"/>
          <w:b/>
          <w:bCs/>
        </w:rPr>
      </w:pPr>
    </w:p>
    <w:p w14:paraId="79E195C9" w14:textId="7FBFC053" w:rsidR="00482036" w:rsidRPr="00D168C3" w:rsidRDefault="00482036" w:rsidP="00AF188C">
      <w:pPr>
        <w:spacing w:after="0"/>
        <w:jc w:val="both"/>
        <w:rPr>
          <w:rFonts w:cs="Arial"/>
        </w:rPr>
      </w:pPr>
      <w:r w:rsidRPr="00D168C3">
        <w:rPr>
          <w:rFonts w:cs="Arial"/>
        </w:rPr>
        <w:t>Zu Nummer 1:</w:t>
      </w:r>
    </w:p>
    <w:p w14:paraId="54B2C222" w14:textId="7AC385B7" w:rsidR="00482036" w:rsidRPr="00D168C3" w:rsidRDefault="00482036" w:rsidP="00AF188C">
      <w:pPr>
        <w:spacing w:after="0"/>
        <w:jc w:val="both"/>
        <w:rPr>
          <w:rFonts w:cs="Arial"/>
        </w:rPr>
      </w:pPr>
      <w:r w:rsidRPr="00D168C3">
        <w:rPr>
          <w:rFonts w:cs="Arial"/>
        </w:rPr>
        <w:t xml:space="preserve">Personen des Privatrechts, denen Pflichten nach § 3 des Tierische Nebenprodukte-Beseitigungsgesetzes übertragen worden sind, erheben von den Besitzern der tierischen Nebenprodukte ein auf einer Entgeltliste beruhendes privatrechtliches Entgelt. Die Entgeltliste bedarf der Genehmigung des Ministeriums für Landwirtschaft und Umwelt. </w:t>
      </w:r>
      <w:r w:rsidR="00E21B34" w:rsidRPr="00D168C3">
        <w:rPr>
          <w:rFonts w:cs="Arial"/>
        </w:rPr>
        <w:t xml:space="preserve">Selbst bei optimierten Verwaltungsprozessen kann eine Genehmigung aufgrund der komplexen Sachlage sowie der erforderlichen Verhandlungen über die Angemessenheit der Entgelte nicht innerhalb von drei Monaten erteilt werden. </w:t>
      </w:r>
      <w:r w:rsidRPr="00D168C3">
        <w:rPr>
          <w:rFonts w:cs="Arial"/>
        </w:rPr>
        <w:t>Bei der Einführung der Genehmigungsfiktion stünde zu befürchten, dass durch die Fiktion Genehmigungen erteilt werden, die bei ordnungsgemäßer Prüfung nicht erteilt werden könnten</w:t>
      </w:r>
    </w:p>
    <w:p w14:paraId="30316165" w14:textId="77777777" w:rsidR="00482036" w:rsidRPr="00D168C3" w:rsidRDefault="00482036" w:rsidP="00AF188C">
      <w:pPr>
        <w:spacing w:after="0"/>
        <w:jc w:val="both"/>
        <w:rPr>
          <w:rFonts w:cs="Arial"/>
        </w:rPr>
      </w:pPr>
    </w:p>
    <w:p w14:paraId="4B9B54D7" w14:textId="77777777" w:rsidR="00482036" w:rsidRPr="00D168C3" w:rsidRDefault="00482036" w:rsidP="00AF188C">
      <w:pPr>
        <w:pStyle w:val="Listenabsatz"/>
        <w:numPr>
          <w:ilvl w:val="0"/>
          <w:numId w:val="7"/>
        </w:numPr>
        <w:jc w:val="both"/>
        <w:rPr>
          <w:rFonts w:cs="Arial"/>
          <w:b/>
          <w:bCs/>
        </w:rPr>
      </w:pPr>
    </w:p>
    <w:p w14:paraId="6F9F409A" w14:textId="118CD66A" w:rsidR="0028031A" w:rsidRPr="00D168C3" w:rsidRDefault="0028031A" w:rsidP="00AF188C">
      <w:pPr>
        <w:spacing w:after="0"/>
        <w:jc w:val="both"/>
        <w:rPr>
          <w:rFonts w:cs="Arial"/>
        </w:rPr>
      </w:pPr>
      <w:r w:rsidRPr="00D168C3">
        <w:rPr>
          <w:rFonts w:cs="Arial"/>
        </w:rPr>
        <w:t>Zu Nummer 1:</w:t>
      </w:r>
    </w:p>
    <w:p w14:paraId="6BE40AC5" w14:textId="29CCFCA5" w:rsidR="0028031A" w:rsidRPr="00D168C3" w:rsidRDefault="0028031A" w:rsidP="00AF188C">
      <w:pPr>
        <w:jc w:val="both"/>
        <w:rPr>
          <w:rFonts w:cs="Arial"/>
        </w:rPr>
      </w:pPr>
      <w:r w:rsidRPr="00D168C3">
        <w:rPr>
          <w:rFonts w:cs="Arial"/>
        </w:rPr>
        <w:t xml:space="preserve">Die Satzungen, der Haushaltsplan, der Jahresabschluss und die Entlastung der Geschäftsführung der Tierseuchenkasse bedürfen der Genehmigung des Ministeriums. Ebenso bedarf die Bestellung der Wirtschaftsprüfer für den Jahresabschluss der Genehmigung des Ministeriums. </w:t>
      </w:r>
      <w:r w:rsidR="00E21B34" w:rsidRPr="00D168C3">
        <w:rPr>
          <w:rFonts w:cs="Arial"/>
        </w:rPr>
        <w:t xml:space="preserve">Selbst bei optimierten Verwaltungsprozessen kann eine Genehmigung aufgrund </w:t>
      </w:r>
      <w:r w:rsidRPr="00D168C3">
        <w:rPr>
          <w:rFonts w:cs="Arial"/>
        </w:rPr>
        <w:t xml:space="preserve">der komplexen Sachlage und der hierbei notwendigen Verhandlungen </w:t>
      </w:r>
      <w:r w:rsidR="00E21B34" w:rsidRPr="00D168C3">
        <w:rPr>
          <w:rFonts w:cs="Arial"/>
        </w:rPr>
        <w:t>nicht innerhalb von drei Monaten erteilt werden.</w:t>
      </w:r>
      <w:r w:rsidRPr="00D168C3">
        <w:rPr>
          <w:rFonts w:cs="Arial"/>
        </w:rPr>
        <w:t xml:space="preserve"> Bei der Einführung der Genehmigungsfiktion stünde zu befürchten, dass durch die Fiktion Genehmigungen erteilt werden, die bei ordnungsgemäßer Prüfung nicht erteilt werden könnten.</w:t>
      </w:r>
    </w:p>
    <w:p w14:paraId="40B10CA1" w14:textId="77777777" w:rsidR="0028031A" w:rsidRPr="00D168C3" w:rsidRDefault="0028031A" w:rsidP="00AF188C">
      <w:pPr>
        <w:pStyle w:val="Listenabsatz"/>
        <w:numPr>
          <w:ilvl w:val="0"/>
          <w:numId w:val="7"/>
        </w:numPr>
        <w:jc w:val="both"/>
        <w:rPr>
          <w:rFonts w:cs="Arial"/>
          <w:b/>
          <w:bCs/>
        </w:rPr>
      </w:pPr>
    </w:p>
    <w:p w14:paraId="0FCF9883" w14:textId="51C09A9F" w:rsidR="00482036" w:rsidRPr="00D168C3" w:rsidRDefault="00482036" w:rsidP="00AF188C">
      <w:pPr>
        <w:spacing w:after="0"/>
        <w:jc w:val="both"/>
        <w:rPr>
          <w:rFonts w:cs="Arial"/>
        </w:rPr>
      </w:pPr>
      <w:r w:rsidRPr="00D168C3">
        <w:rPr>
          <w:rFonts w:cs="Arial"/>
        </w:rPr>
        <w:t>Zu Nummer 1:</w:t>
      </w:r>
    </w:p>
    <w:p w14:paraId="7F1E18F9" w14:textId="03B659C8" w:rsidR="0028031A" w:rsidRPr="00D168C3" w:rsidRDefault="00482036" w:rsidP="00AF188C">
      <w:pPr>
        <w:jc w:val="both"/>
        <w:rPr>
          <w:rFonts w:cs="Arial"/>
        </w:rPr>
      </w:pPr>
      <w:r w:rsidRPr="00D168C3">
        <w:rPr>
          <w:rFonts w:cs="Arial"/>
        </w:rPr>
        <w:lastRenderedPageBreak/>
        <w:t>§ 47 regelt den Schutz von Deichen, u.a. das Verbot von Errichten oder Verändern von Bauwerken und Anlagen, das Aufstellen, Lagern oder Ablagern von Gegenständen aller Art sowie das Verlegen von Rohren, Kabeln und anderen Leitungen (Nr. 5) und dem Vornehmen von Abgrabungen, Abspülungen oder Bohrungen (Nr. 8). Von diesen Verboten können auf Antrag Ausnahmen zugelassen werden. Diese bedürfen einer genaueren Betrachtung, da die Funktion der Schutzanlagen besonders bedroht sein kann. Die Maßnahmen stehen typischerweise im Zusammenhang mit weitergehenden Vorhaben/Baumaßnahmen des Antragstellers. Zur fachlichen/rechtlichen Bewertung muss u.a. eine Alternativenprüfung – oft auch in Zusammenarbeit mit den Antragstellenden – erfolgen, die innerhalb von drei Monaten nicht abgeschlossen werden kann.</w:t>
      </w:r>
    </w:p>
    <w:p w14:paraId="267BE9B7" w14:textId="757D980D" w:rsidR="00482036" w:rsidRPr="00D168C3" w:rsidRDefault="00482036" w:rsidP="00AF188C">
      <w:pPr>
        <w:spacing w:after="0"/>
        <w:jc w:val="both"/>
        <w:rPr>
          <w:rFonts w:cs="Arial"/>
        </w:rPr>
      </w:pPr>
      <w:r w:rsidRPr="00D168C3">
        <w:rPr>
          <w:rFonts w:cs="Arial"/>
        </w:rPr>
        <w:t>Zu Nummer 2 Buchstabe a:</w:t>
      </w:r>
    </w:p>
    <w:p w14:paraId="5913F6D1" w14:textId="3DFB9E0B" w:rsidR="00482036" w:rsidRPr="00D168C3" w:rsidRDefault="00482036" w:rsidP="00AF188C">
      <w:pPr>
        <w:spacing w:after="0"/>
        <w:jc w:val="both"/>
        <w:rPr>
          <w:rFonts w:cs="Arial"/>
        </w:rPr>
      </w:pPr>
      <w:r w:rsidRPr="00D168C3">
        <w:rPr>
          <w:rFonts w:cs="Arial"/>
        </w:rPr>
        <w:t>§ 51 betrifft die Genehmigung von Küstenschutzanlagen und Sandvorspülungen. Die Errichtung oder wesentliche Änderung von Küstenschutzanlagen und Sandaufspülungen bedarf typischerweise einer umfassenden Prüfung der Veranlassung/Begründung des Vorhabens, der Auswirkungen und deren planungsseitige und baubegleitende Berücksichtigung</w:t>
      </w:r>
      <w:r w:rsidR="0023454B" w:rsidRPr="00D168C3">
        <w:rPr>
          <w:rFonts w:cs="Arial"/>
        </w:rPr>
        <w:t>/</w:t>
      </w:r>
      <w:r w:rsidRPr="00D168C3">
        <w:rPr>
          <w:rFonts w:cs="Arial"/>
        </w:rPr>
        <w:t>Minimierung sowie eine Beteiligung von einer Vielzahl von Betroffenen.</w:t>
      </w:r>
    </w:p>
    <w:p w14:paraId="6E3F3437" w14:textId="469E5A06" w:rsidR="00482036" w:rsidRPr="00D168C3" w:rsidRDefault="00482036" w:rsidP="00AF188C">
      <w:pPr>
        <w:spacing w:after="0"/>
        <w:jc w:val="both"/>
        <w:rPr>
          <w:rFonts w:cs="Arial"/>
        </w:rPr>
      </w:pPr>
      <w:r w:rsidRPr="00D168C3">
        <w:rPr>
          <w:rFonts w:cs="Arial"/>
        </w:rPr>
        <w:t>Die Ergebnisse der behördlichen Befassung und Beteiligung fließen dann in die Genehmigung (Nebenbestimmungen/Auflagen). Solche Verfahren können nicht innerhalb von drei Monaten abgeschlossen werden. Es besteht ansonsten die Gefahr wesentliche Betroffenheiten zu übersehen.</w:t>
      </w:r>
    </w:p>
    <w:p w14:paraId="43F07278" w14:textId="32EB8717" w:rsidR="00482036" w:rsidRPr="00D168C3" w:rsidRDefault="00482036" w:rsidP="00AF188C">
      <w:pPr>
        <w:spacing w:after="0"/>
        <w:jc w:val="both"/>
        <w:rPr>
          <w:rFonts w:cs="Arial"/>
        </w:rPr>
      </w:pPr>
    </w:p>
    <w:p w14:paraId="721F27FD" w14:textId="058FFE83" w:rsidR="00482036" w:rsidRPr="00D168C3" w:rsidRDefault="00482036" w:rsidP="00AF188C">
      <w:pPr>
        <w:spacing w:after="0"/>
        <w:jc w:val="both"/>
        <w:rPr>
          <w:rFonts w:cs="Arial"/>
        </w:rPr>
      </w:pPr>
      <w:r w:rsidRPr="00D168C3">
        <w:rPr>
          <w:rFonts w:cs="Arial"/>
        </w:rPr>
        <w:t>Zu Nummer 3 Buchstabe a:</w:t>
      </w:r>
    </w:p>
    <w:p w14:paraId="00239021" w14:textId="2EDEC944" w:rsidR="00482036" w:rsidRPr="00D168C3" w:rsidRDefault="00482036" w:rsidP="00AF188C">
      <w:pPr>
        <w:spacing w:after="0"/>
        <w:jc w:val="both"/>
        <w:rPr>
          <w:rFonts w:cs="Arial"/>
        </w:rPr>
      </w:pPr>
      <w:r w:rsidRPr="00D168C3">
        <w:rPr>
          <w:rFonts w:cs="Arial"/>
        </w:rPr>
        <w:t>§ 52 regelt den Schutz von Stränden, u.a. das Verbot von Abgrabungen, Abspülungen und Bohrungen (Absatz 1 Nr. 3). Von diesem Verbot können auf Antrag Ausnahmen zugelassen werden. Solche Ausnahmen bedürfen einer genaueren Betrachtung, da die Funktion des Strandes (Seegangsdämpfung, Sedimenttransportprozesse) und eventuell vorhandene Schutzanlagen besonders beeinträchtigt sein können. Solche Maßnahmen stehen typischerweise im Zusammenhang mit weitergehenden Vorhaben/Baumaßnahmen des Antragstellers. Zur fachlichen/rechtlichen Bewertung muss u.a. eine Alternativenprüfung – oft auch in Zusammenarbeit mit dem Antragsteller – erfolgen, die innerhalb von drei Monaten nicht abgeschlossen werden kann.</w:t>
      </w:r>
    </w:p>
    <w:p w14:paraId="03D2DD7E" w14:textId="77777777" w:rsidR="00482036" w:rsidRPr="00D168C3" w:rsidRDefault="00482036" w:rsidP="00AF188C">
      <w:pPr>
        <w:spacing w:after="0"/>
        <w:jc w:val="both"/>
        <w:rPr>
          <w:rFonts w:cs="Arial"/>
        </w:rPr>
      </w:pPr>
    </w:p>
    <w:p w14:paraId="7A586460" w14:textId="5E67C900" w:rsidR="00482036" w:rsidRPr="00D168C3" w:rsidRDefault="00482036" w:rsidP="00AF188C">
      <w:pPr>
        <w:spacing w:after="0"/>
        <w:jc w:val="both"/>
        <w:rPr>
          <w:rFonts w:cs="Arial"/>
        </w:rPr>
      </w:pPr>
      <w:r w:rsidRPr="00D168C3">
        <w:rPr>
          <w:rFonts w:cs="Arial"/>
        </w:rPr>
        <w:t>Zu Nummer 4:</w:t>
      </w:r>
    </w:p>
    <w:p w14:paraId="4E96F23F" w14:textId="33DBF338" w:rsidR="00482036" w:rsidRPr="00D168C3" w:rsidRDefault="00482036" w:rsidP="00AF188C">
      <w:pPr>
        <w:spacing w:after="0"/>
        <w:jc w:val="both"/>
        <w:rPr>
          <w:rFonts w:cs="Arial"/>
        </w:rPr>
      </w:pPr>
      <w:r w:rsidRPr="00D168C3">
        <w:rPr>
          <w:rFonts w:cs="Arial"/>
        </w:rPr>
        <w:t>§ 54 befasst sich mit Küstenrückgangsgebiete und Küstenschutzgebieten. Diese dienen u.a. der Verringerung von Risiken, die durch Hochwasser-/Sturmhochwasserereignisse eintreten können. Durch den zukünftigen Anstieg des Meeresspiegels können zukünftig auch höhere Risiken für (bauliche) Nutzungen eintreten. Ausnahmen können nur nach eingehender fachlicher Prüfung der Zulässigkeit, Angemessenheit und fachlicher Begründung der Ausnahme erfolgen. Vor dem Hintergrund der Komplexität der Prüfung des Einzelfalls (mittel/langfristige Küstenschutzstrategie bzgl. für den Küstenschutz erforderlicher Flächen, Schadenpotentialuntersuchungen, ggf. befristete Nutzung von Flächen) ist eine abschließende Bearbeitung nur nach Einbeziehung der Antragsteller möglich und kann innerhalb von drei Monaten nicht abgeschlossen werden.</w:t>
      </w:r>
    </w:p>
    <w:p w14:paraId="66030759" w14:textId="1D3DC48A" w:rsidR="00482036" w:rsidRPr="00D168C3" w:rsidRDefault="00482036" w:rsidP="00AF188C">
      <w:pPr>
        <w:spacing w:after="0"/>
        <w:jc w:val="both"/>
        <w:rPr>
          <w:rFonts w:cs="Arial"/>
        </w:rPr>
      </w:pPr>
    </w:p>
    <w:p w14:paraId="65A9A87D" w14:textId="401D5595" w:rsidR="00482036" w:rsidRPr="00D168C3" w:rsidRDefault="00482036" w:rsidP="00AF188C">
      <w:pPr>
        <w:spacing w:after="0"/>
        <w:jc w:val="both"/>
        <w:rPr>
          <w:rFonts w:cs="Arial"/>
        </w:rPr>
      </w:pPr>
      <w:r w:rsidRPr="00D168C3">
        <w:rPr>
          <w:rFonts w:cs="Arial"/>
        </w:rPr>
        <w:t>Zu Nummer 5:</w:t>
      </w:r>
    </w:p>
    <w:p w14:paraId="4068FB56" w14:textId="180E8A0E" w:rsidR="00482036" w:rsidRPr="00D168C3" w:rsidRDefault="00482036" w:rsidP="00AF188C">
      <w:pPr>
        <w:spacing w:after="0"/>
        <w:jc w:val="both"/>
        <w:rPr>
          <w:rFonts w:cs="Arial"/>
        </w:rPr>
      </w:pPr>
      <w:r w:rsidRPr="00D168C3">
        <w:rPr>
          <w:rFonts w:cs="Arial"/>
        </w:rPr>
        <w:t xml:space="preserve">§ 86 regelt die Fortgeltung der auf der Grundlage des Wassergesetzes vom 2. Juli 1982 (GBl. DDR I S. 467) festgelegten Trinkwasserschutzgebiete und Trinkwasservorbehaltsgebiete. Der Ausschluss der Genehmigungsfiktion bezieht sich auf Genehmigungsverfahren zu </w:t>
      </w:r>
      <w:r w:rsidRPr="00D168C3">
        <w:rPr>
          <w:rFonts w:cs="Arial"/>
        </w:rPr>
        <w:lastRenderedPageBreak/>
        <w:t>beantragten Ausnahmen. Solche Ausnahmen können nur nach eingehender fachlicher Prüfung der Zulässigkeit, Angemessenheit und fachlicher Begründung der Ausnahme erfolgen. Vor dem Hintergrund der Komplexität der Prüfung des Einzelfalls und des Bezugs zu alten Rechtsvorschriften ist eine abschließende Bearbeitung nur nach Einbeziehung der Antragsteller möglich und kann innerhalb von drei Monaten nicht abgeschlossen werden.</w:t>
      </w:r>
    </w:p>
    <w:p w14:paraId="4A877A38" w14:textId="4A688D09" w:rsidR="00482036" w:rsidRPr="00D168C3" w:rsidRDefault="00482036" w:rsidP="00AF188C">
      <w:pPr>
        <w:spacing w:after="0"/>
        <w:jc w:val="both"/>
        <w:rPr>
          <w:rFonts w:cs="Arial"/>
        </w:rPr>
      </w:pPr>
    </w:p>
    <w:p w14:paraId="27F7722E" w14:textId="7CDAA2F4" w:rsidR="00482036" w:rsidRPr="00D168C3" w:rsidRDefault="00482036" w:rsidP="00AF188C">
      <w:pPr>
        <w:spacing w:after="0"/>
        <w:jc w:val="both"/>
        <w:rPr>
          <w:rFonts w:cs="Arial"/>
        </w:rPr>
      </w:pPr>
      <w:r w:rsidRPr="00D168C3">
        <w:rPr>
          <w:rFonts w:cs="Arial"/>
        </w:rPr>
        <w:t>Zu Nummer 6:</w:t>
      </w:r>
    </w:p>
    <w:p w14:paraId="54D553BC" w14:textId="77777777" w:rsidR="0023454B" w:rsidRPr="00D168C3" w:rsidRDefault="00482036" w:rsidP="00AF188C">
      <w:pPr>
        <w:spacing w:after="0"/>
        <w:jc w:val="both"/>
        <w:rPr>
          <w:rFonts w:cs="Arial"/>
        </w:rPr>
      </w:pPr>
      <w:r w:rsidRPr="00D168C3">
        <w:rPr>
          <w:rFonts w:cs="Arial"/>
        </w:rPr>
        <w:t>§ 87 regelt den</w:t>
      </w:r>
      <w:r w:rsidR="0010068D" w:rsidRPr="00D168C3">
        <w:rPr>
          <w:rFonts w:cs="Arial"/>
        </w:rPr>
        <w:t xml:space="preserve"> </w:t>
      </w:r>
      <w:r w:rsidRPr="00D168C3">
        <w:rPr>
          <w:rFonts w:cs="Arial"/>
        </w:rPr>
        <w:t xml:space="preserve">Schutz von Heilquellen. Bohrungen, Grabungen und andere Arbeiten, welche den Bestand oder die Beschaffenheit der Heilquelle beeinflussen können, bedürfen einer Genehmigung. Solche Maßnahmen können nur nach eingehender fachlicher Prüfung erfolgen. </w:t>
      </w:r>
    </w:p>
    <w:p w14:paraId="185755BB" w14:textId="679E8EDD" w:rsidR="0023454B" w:rsidRPr="00D168C3" w:rsidRDefault="0023454B" w:rsidP="00AF188C">
      <w:pPr>
        <w:spacing w:after="0"/>
        <w:jc w:val="both"/>
        <w:rPr>
          <w:rFonts w:cs="Arial"/>
        </w:rPr>
      </w:pPr>
      <w:r w:rsidRPr="00D168C3">
        <w:rPr>
          <w:rFonts w:cs="Arial"/>
        </w:rPr>
        <w:t>Aufgrund der Komplexität der erforderlichen Einzelfallprüfung ist eine abschließende Bearbeitung unter Einbeziehung des Bergamtes selbst bei optimierten Verwaltungsprozessen innerhalb von drei Monaten nicht realisierbar.</w:t>
      </w:r>
    </w:p>
    <w:p w14:paraId="10AA58D9" w14:textId="267EE43E" w:rsidR="00482036" w:rsidRPr="00D168C3" w:rsidRDefault="00482036" w:rsidP="00AF188C">
      <w:pPr>
        <w:spacing w:after="0"/>
        <w:jc w:val="both"/>
        <w:rPr>
          <w:rFonts w:cs="Arial"/>
        </w:rPr>
      </w:pPr>
    </w:p>
    <w:p w14:paraId="3F8138D0" w14:textId="77777777" w:rsidR="009A1778" w:rsidRPr="00D168C3" w:rsidRDefault="009A1778" w:rsidP="00AF188C">
      <w:pPr>
        <w:pStyle w:val="Listenabsatz"/>
        <w:numPr>
          <w:ilvl w:val="0"/>
          <w:numId w:val="7"/>
        </w:numPr>
        <w:jc w:val="both"/>
        <w:rPr>
          <w:rFonts w:cs="Arial"/>
          <w:b/>
          <w:bCs/>
        </w:rPr>
      </w:pPr>
    </w:p>
    <w:p w14:paraId="4DB198B3" w14:textId="36E19FB2" w:rsidR="0079171F" w:rsidRPr="00D168C3" w:rsidRDefault="0079171F" w:rsidP="0079171F">
      <w:pPr>
        <w:spacing w:after="0"/>
        <w:jc w:val="both"/>
        <w:rPr>
          <w:rFonts w:cs="Arial"/>
        </w:rPr>
      </w:pPr>
      <w:r w:rsidRPr="00847AB7">
        <w:rPr>
          <w:rFonts w:cs="Arial"/>
        </w:rPr>
        <w:t>Zu Nummer 1:</w:t>
      </w:r>
    </w:p>
    <w:p w14:paraId="08653958" w14:textId="6781BBD0" w:rsidR="00A14CF3" w:rsidRPr="00D168C3" w:rsidRDefault="0079171F" w:rsidP="0079171F">
      <w:pPr>
        <w:spacing w:after="0"/>
        <w:jc w:val="both"/>
        <w:rPr>
          <w:rFonts w:cs="Arial"/>
        </w:rPr>
      </w:pPr>
      <w:r w:rsidRPr="00D168C3">
        <w:rPr>
          <w:rFonts w:cs="Arial"/>
        </w:rPr>
        <w:t xml:space="preserve">Absatz 7 sieht bisher vor, dass die Hafenbetreiber für die in ihren Häfen aufgefangenen passiv gefischten Abfälle jährlich Daten über Volumen und Menge anhand der von der Europäischen Kommission bekanntgemachten Formate an die oberste Abfallbehörde zu melden haben. Diese Berichtspflicht ist nicht erforderlich, da eine solche Datenerhebung bereits durch § 5a </w:t>
      </w:r>
      <w:r w:rsidR="001E1039">
        <w:rPr>
          <w:rFonts w:cs="Arial"/>
        </w:rPr>
        <w:t xml:space="preserve">Absatz </w:t>
      </w:r>
      <w:r w:rsidRPr="00D168C3">
        <w:rPr>
          <w:rFonts w:cs="Arial"/>
        </w:rPr>
        <w:t>7 des Umweltstatistikgesetzes (UStatG) geregelt ist.</w:t>
      </w:r>
    </w:p>
    <w:p w14:paraId="0217B24A" w14:textId="77777777" w:rsidR="0079171F" w:rsidRPr="00D168C3" w:rsidRDefault="0079171F" w:rsidP="0079171F">
      <w:pPr>
        <w:spacing w:after="0"/>
        <w:jc w:val="both"/>
        <w:rPr>
          <w:rFonts w:cs="Arial"/>
        </w:rPr>
      </w:pPr>
    </w:p>
    <w:p w14:paraId="5A1A09A6" w14:textId="03116739" w:rsidR="0079171F" w:rsidRPr="00D168C3" w:rsidRDefault="0079171F" w:rsidP="0079171F">
      <w:pPr>
        <w:spacing w:after="0"/>
        <w:jc w:val="both"/>
        <w:rPr>
          <w:rFonts w:cs="Arial"/>
        </w:rPr>
      </w:pPr>
      <w:r w:rsidRPr="00D168C3">
        <w:rPr>
          <w:rFonts w:cs="Arial"/>
        </w:rPr>
        <w:t>Zu Nummer 2 und 3:</w:t>
      </w:r>
    </w:p>
    <w:p w14:paraId="3E7B9AA2" w14:textId="54C85A1F" w:rsidR="00856816" w:rsidRPr="00D168C3" w:rsidRDefault="00856816" w:rsidP="00AF188C">
      <w:pPr>
        <w:jc w:val="both"/>
        <w:rPr>
          <w:rFonts w:cs="Arial"/>
        </w:rPr>
      </w:pPr>
      <w:r w:rsidRPr="00D168C3">
        <w:rPr>
          <w:rFonts w:cs="Arial"/>
        </w:rPr>
        <w:t>Der konsolidierte Leitfaden für Betreiber und Nutzer von Hafenauffangeinrichtungen (MEPC.1/Circ. 834/Rev. 1) weist für die Abfallbeschreibung die Buchstaben J als nicht für die Meeresumwelt schädliche Ladungsrückstände (non-HME) und K für HME aus. In der RL (EU) 2019/883 ist diese Reihenfolge (Anlagen 2 und 3) hingegen vertauscht. Eine Behebung dieses der Europäischen Kommission seit längerem bekannten Übertragungsfehlers war eigentlich für Ende 2025 vorgesehen. Mit Blick auf den reinen klarstellenden Charakter der Änderung wird eine entsprechende Anpassung des Landesgesetz vor der Anpassung der Richtlinie als unschädlich angesehen.</w:t>
      </w:r>
    </w:p>
    <w:p w14:paraId="2BC43B95" w14:textId="77777777" w:rsidR="001A59C2" w:rsidRPr="00D168C3" w:rsidRDefault="001A59C2" w:rsidP="001A59C2">
      <w:pPr>
        <w:pStyle w:val="Listenabsatz"/>
        <w:numPr>
          <w:ilvl w:val="0"/>
          <w:numId w:val="7"/>
        </w:numPr>
        <w:jc w:val="both"/>
        <w:rPr>
          <w:rFonts w:cs="Arial"/>
          <w:b/>
          <w:bCs/>
        </w:rPr>
      </w:pPr>
    </w:p>
    <w:p w14:paraId="3781499B" w14:textId="00339CA8" w:rsidR="001A59C2" w:rsidRPr="00D168C3" w:rsidRDefault="001A59C2" w:rsidP="001A59C2">
      <w:pPr>
        <w:spacing w:after="0"/>
        <w:jc w:val="both"/>
        <w:rPr>
          <w:rFonts w:cs="Arial"/>
        </w:rPr>
      </w:pPr>
      <w:r w:rsidRPr="00847AB7">
        <w:rPr>
          <w:rFonts w:cs="Arial"/>
        </w:rPr>
        <w:t>Zu Nummer 1 und 3:</w:t>
      </w:r>
    </w:p>
    <w:p w14:paraId="1A3650D2" w14:textId="27E7D275" w:rsidR="001A59C2" w:rsidRPr="00D168C3" w:rsidRDefault="001A59C2" w:rsidP="001A59C2">
      <w:pPr>
        <w:jc w:val="both"/>
        <w:rPr>
          <w:rFonts w:cs="Arial"/>
        </w:rPr>
      </w:pPr>
      <w:r w:rsidRPr="00D168C3">
        <w:rPr>
          <w:rFonts w:cs="Arial"/>
        </w:rPr>
        <w:t xml:space="preserve">Im Rahmen der Ressortanhörung der auf dem Landesbienengesetz basierenden Bienenbelegstellenverordnung vom 26. Februar 2023 (GVOBl. M-V 2023 S. 530) wurde festgestellt, dass die Ermächtigungsgrundlage im Landesbienengesetz M-V nicht der Formulierung des Organisationserlasses der Ministerpräsidentin vom 21. Dezember 2021 entspricht. Mit der Gesetzesänderung soll diese rechtlich nicht eindeutige Zuordnung präzisiert werden. Das Aufgabengebiet der Bienenzucht ist der Imkerei zuzuordnen. Dieser Rechtsbereich ist im Ministerium für Klimaschutz, Landwirtschaft, ländliche Räume und Umwelt der Abteilung „Landwirtschaft und ländliche Räume“ zugeordnet. Die Zuständigkeit für die Bienenzucht wird auch weiterhin in der Landwirtschaftsabteilung liegen. Durch die Änderung wird die Rechtswirksamkeit der auf dem Bienengesetz basierenden Bienenbelegstellenverordnung gewährleistet und Klarheit hinsichtlich der Zuständigkeit geschaffen. </w:t>
      </w:r>
    </w:p>
    <w:p w14:paraId="280C8D51" w14:textId="0D3A5397" w:rsidR="001A59C2" w:rsidRPr="00D168C3" w:rsidRDefault="001A59C2" w:rsidP="001A59C2">
      <w:pPr>
        <w:spacing w:after="0"/>
        <w:jc w:val="both"/>
        <w:rPr>
          <w:rFonts w:cs="Arial"/>
        </w:rPr>
      </w:pPr>
      <w:r w:rsidRPr="00847AB7">
        <w:rPr>
          <w:rFonts w:cs="Arial"/>
        </w:rPr>
        <w:t>Zu Nummer 2:</w:t>
      </w:r>
    </w:p>
    <w:p w14:paraId="79617D4D" w14:textId="04C38A33" w:rsidR="001A59C2" w:rsidRPr="00D168C3" w:rsidRDefault="008D4029" w:rsidP="00AF188C">
      <w:pPr>
        <w:jc w:val="both"/>
        <w:rPr>
          <w:rFonts w:cs="Arial"/>
        </w:rPr>
      </w:pPr>
      <w:r w:rsidRPr="00D168C3">
        <w:rPr>
          <w:rFonts w:cs="Arial"/>
        </w:rPr>
        <w:lastRenderedPageBreak/>
        <w:t>Es handelt sich um eine redaktionelle Anpassung. Die veraltete Bezeichnung „Halbmesser“ wird durch den Begriff „Radius“ ersetzt, der auch in der aktuellen Bienenbelegstellenverordnung verwendet wird.  Zugleich trägt die Änderung zu einer bürgerfreundlicheren Ausgestaltung der Regelung bei.</w:t>
      </w:r>
    </w:p>
    <w:p w14:paraId="06B0CCA0" w14:textId="77777777" w:rsidR="008D4029" w:rsidRPr="00D168C3" w:rsidRDefault="008D4029" w:rsidP="008D4029">
      <w:pPr>
        <w:pStyle w:val="Listenabsatz"/>
        <w:numPr>
          <w:ilvl w:val="0"/>
          <w:numId w:val="7"/>
        </w:numPr>
        <w:jc w:val="both"/>
        <w:rPr>
          <w:rFonts w:cs="Arial"/>
          <w:b/>
          <w:bCs/>
        </w:rPr>
      </w:pPr>
    </w:p>
    <w:p w14:paraId="1A50D15C" w14:textId="1EA6743B" w:rsidR="00343316" w:rsidRPr="00D168C3" w:rsidRDefault="008D4029" w:rsidP="00AD5CCB">
      <w:pPr>
        <w:jc w:val="both"/>
        <w:rPr>
          <w:rFonts w:cs="Arial"/>
        </w:rPr>
      </w:pPr>
      <w:r w:rsidRPr="00D168C3">
        <w:rPr>
          <w:rFonts w:cs="Arial"/>
        </w:rPr>
        <w:t>Mit der Fertigstellung des OZG-3+-Projekts „Binnenfischereiverwaltung MV“ steht nach Eingabe aller Daten ein digitales Fischereigewässerverzeichnis M-V zur Verfügung. Dieses ist im GeoPortal.MV einsehbar und enthält unter anderem die hinterlegten Schonbezirke. Die bislang erforderliche Ausbringung sowie die regelmäßige Kontrolle der entsprechenden Beschilderung sind mit erheblichem Aufwand verbunden und binden Arbeitskapazitäten, die für Kontrolltätigkeiten benötigt werden</w:t>
      </w:r>
      <w:r w:rsidR="001B20C2" w:rsidRPr="00D168C3">
        <w:rPr>
          <w:rFonts w:cs="Arial"/>
        </w:rPr>
        <w:t>.</w:t>
      </w:r>
      <w:r w:rsidRPr="00D168C3">
        <w:rPr>
          <w:rFonts w:cs="Arial"/>
        </w:rPr>
        <w:t xml:space="preserve"> </w:t>
      </w:r>
    </w:p>
    <w:p w14:paraId="6E2A64E6" w14:textId="77777777" w:rsidR="00C41D98" w:rsidRPr="00D168C3" w:rsidRDefault="00C41D98" w:rsidP="00AF188C">
      <w:pPr>
        <w:pStyle w:val="Listenabsatz"/>
        <w:numPr>
          <w:ilvl w:val="0"/>
          <w:numId w:val="7"/>
        </w:numPr>
        <w:jc w:val="both"/>
        <w:rPr>
          <w:rFonts w:cs="Arial"/>
          <w:b/>
          <w:bCs/>
        </w:rPr>
      </w:pPr>
    </w:p>
    <w:p w14:paraId="713C0126" w14:textId="53D5541B" w:rsidR="00C41D98" w:rsidRPr="00D168C3" w:rsidRDefault="00C41D98" w:rsidP="00AF188C">
      <w:pPr>
        <w:spacing w:after="0"/>
        <w:jc w:val="both"/>
        <w:rPr>
          <w:rFonts w:cs="Arial"/>
        </w:rPr>
      </w:pPr>
      <w:r w:rsidRPr="00847AB7">
        <w:rPr>
          <w:rFonts w:cs="Arial"/>
        </w:rPr>
        <w:t>Zu Nummer 1 Buchstabe a:</w:t>
      </w:r>
    </w:p>
    <w:p w14:paraId="343F6A1F" w14:textId="77777777" w:rsidR="003552BC" w:rsidRPr="00D168C3" w:rsidRDefault="003552BC" w:rsidP="00AF188C">
      <w:pPr>
        <w:spacing w:after="0"/>
        <w:jc w:val="both"/>
        <w:rPr>
          <w:rFonts w:cs="Arial"/>
        </w:rPr>
      </w:pPr>
      <w:r w:rsidRPr="00D168C3">
        <w:rPr>
          <w:rFonts w:cs="Arial"/>
        </w:rPr>
        <w:t>Die Pflicht zur Vorlage einer Geburtsurkunde entfällt, sofern die Identität durch einen gültigen amtlichen Identitätsnachweis (z. B. Personalausweis oder Reisepass) belegt wird.</w:t>
      </w:r>
    </w:p>
    <w:p w14:paraId="2E5218F3" w14:textId="39736E91" w:rsidR="003552BC" w:rsidRPr="00D168C3" w:rsidRDefault="003552BC" w:rsidP="00AF188C">
      <w:pPr>
        <w:spacing w:after="0"/>
        <w:jc w:val="both"/>
        <w:rPr>
          <w:rFonts w:cs="Arial"/>
        </w:rPr>
      </w:pPr>
      <w:r w:rsidRPr="00D168C3">
        <w:rPr>
          <w:rFonts w:cs="Arial"/>
        </w:rPr>
        <w:t>Die Identitäts- und Altersfeststellung kann regelmäßig anhand eines gültigen amtlichen Ausweisdokuments erfolgen. Eine zusätzliche Geburtsurkunde ist hierfür nicht erforderlich. Der Verzicht reduziert Beschaffungsaufwand und Kosten für Bewerbende und trägt zur Verwaltungsvereinfachung bei. Die materiellen Voraussetzungen für die Einstellung werden weiterhin geprüft.</w:t>
      </w:r>
    </w:p>
    <w:p w14:paraId="3B839D82" w14:textId="433E61AA" w:rsidR="00C41D98" w:rsidRPr="00D168C3" w:rsidRDefault="00C41D98" w:rsidP="00AF188C">
      <w:pPr>
        <w:spacing w:after="0"/>
        <w:jc w:val="both"/>
        <w:rPr>
          <w:rFonts w:cs="Arial"/>
        </w:rPr>
      </w:pPr>
    </w:p>
    <w:p w14:paraId="4B357DA4" w14:textId="36F47DD9" w:rsidR="00C41D98" w:rsidRPr="00D168C3" w:rsidRDefault="00C41D98" w:rsidP="00AF188C">
      <w:pPr>
        <w:spacing w:after="0"/>
        <w:jc w:val="both"/>
        <w:rPr>
          <w:rFonts w:cs="Arial"/>
        </w:rPr>
      </w:pPr>
      <w:r w:rsidRPr="00847AB7">
        <w:rPr>
          <w:rFonts w:cs="Arial"/>
        </w:rPr>
        <w:t>Zu Nummer 1 Buchstabe b:</w:t>
      </w:r>
    </w:p>
    <w:p w14:paraId="7F3634D2" w14:textId="77777777" w:rsidR="003552BC" w:rsidRPr="00D168C3" w:rsidRDefault="003552BC" w:rsidP="00AF188C">
      <w:pPr>
        <w:spacing w:after="0"/>
        <w:jc w:val="both"/>
        <w:rPr>
          <w:rFonts w:cs="Arial"/>
        </w:rPr>
      </w:pPr>
      <w:r w:rsidRPr="00D168C3">
        <w:rPr>
          <w:rFonts w:cs="Arial"/>
        </w:rPr>
        <w:t>Die Neuregelung betrifft ausschließlich die Form des Nachweises im Einstellungsverfahren. Die materiellen Anforderungen an die persönliche Eignung, insbesondere die Zuverlässigkeit und Integrität der Bewerberinnen und Bewerber, bleiben unverändert bestehen.</w:t>
      </w:r>
    </w:p>
    <w:p w14:paraId="56A876FD" w14:textId="54784165" w:rsidR="003552BC" w:rsidRPr="00D168C3" w:rsidRDefault="003552BC" w:rsidP="00AF188C">
      <w:pPr>
        <w:spacing w:after="0"/>
        <w:jc w:val="both"/>
        <w:rPr>
          <w:rFonts w:cs="Arial"/>
        </w:rPr>
      </w:pPr>
      <w:r w:rsidRPr="00D168C3">
        <w:rPr>
          <w:rFonts w:cs="Arial"/>
        </w:rPr>
        <w:t>Im Forstdienst werden hoheitliche Aufgaben wahrgenommen, etwa im Bereich der Gefahrenabwehr, der Überwachung forstrechtlicher Vorschriften oder der Wahrnehmung von Aufgaben im Bereich Natur- und Waldschutz. Gleichzeitig handelt es sich jedoch nicht um Tätigkeiten mit typischerweise besonderer Sicherheitsrelevanz im Sinne klassischer Vollzugs- oder Sicherheitsbehörden. Vor diesem Hintergrund ist eine differenzierte Ausgestaltung der Nachweisanforderungen sachgerecht. Eine generelle Verpflichtung zur Vorlage eines Führungszeugnisses für sämtliche Bewerberinnen und Bewerber ist nicht zwingend erforderlich, um die persönliche Eignung zu beurteilen. Die Selbsterklärung stellt ein milderes, aber geeignetes Mittel dar, um anhängige strafrechtliche Verfahren offenzulegen und die persönliche Verantwortungsübernahme zu dokumentieren.</w:t>
      </w:r>
    </w:p>
    <w:p w14:paraId="3018C7EA" w14:textId="41BA23B7" w:rsidR="00C41D98" w:rsidRPr="00D168C3" w:rsidRDefault="00C41D98" w:rsidP="00AF188C">
      <w:pPr>
        <w:spacing w:after="0"/>
        <w:jc w:val="both"/>
        <w:rPr>
          <w:rFonts w:cs="Arial"/>
        </w:rPr>
      </w:pPr>
    </w:p>
    <w:p w14:paraId="1CF8F6CE" w14:textId="5037AE86" w:rsidR="00C41D98" w:rsidRPr="00D168C3" w:rsidRDefault="00C41D98" w:rsidP="00AF188C">
      <w:pPr>
        <w:spacing w:after="0"/>
        <w:jc w:val="both"/>
        <w:rPr>
          <w:rFonts w:cs="Arial"/>
        </w:rPr>
      </w:pPr>
      <w:r w:rsidRPr="00847AB7">
        <w:rPr>
          <w:rFonts w:cs="Arial"/>
        </w:rPr>
        <w:t>Zu Nummer 2:</w:t>
      </w:r>
    </w:p>
    <w:p w14:paraId="66461A84" w14:textId="5EE84245" w:rsidR="003552BC" w:rsidRPr="00D168C3" w:rsidRDefault="003552BC" w:rsidP="00AF188C">
      <w:pPr>
        <w:spacing w:after="0"/>
        <w:jc w:val="both"/>
        <w:rPr>
          <w:rFonts w:cs="Arial"/>
        </w:rPr>
      </w:pPr>
      <w:r w:rsidRPr="00D168C3">
        <w:rPr>
          <w:rFonts w:cs="Arial"/>
        </w:rPr>
        <w:t xml:space="preserve">Die bisherige Regelung sah vor, dass die Wiederholung einer nicht bestandenen Einzelprüfung auf Antrag der Beamtin oder des Beamten erfolgt. Dieses Antragserfordernis wird gestrichen, da regelmäßig von der Wiederholungsprüfung Gebrauch gemacht wird. Ein Verzicht auf die Wiederholungsprüfung kommt faktisch nicht vor, da das Bestehen der Prüfung regelmäßig Voraussetzung für den erfolgreichen Abschluss der Ausbildung oder des Vorbereitungsdienstes ist. Das Antragserfordernis erfüllt daher keine eigenständige Steuerungs- oder Entscheidungsfunktion, sondern stellt lediglich einen formalen Zwischenschritt dar. Die Streichung des Antragserfordernisses dient daher der Verwaltungsvereinfachung. Der bisher notwendige formale Antrag verursacht vermeidbaren </w:t>
      </w:r>
      <w:r w:rsidRPr="00D168C3">
        <w:rPr>
          <w:rFonts w:cs="Arial"/>
        </w:rPr>
        <w:lastRenderedPageBreak/>
        <w:t>Verwaltungsaufwand, ohne dass hierdurch ein zusätzlicher Erkenntnisgewinn oder eine materielle Entscheidungsgrundlage geschaffen wird.</w:t>
      </w:r>
      <w:r w:rsidR="005A6246" w:rsidRPr="00D168C3">
        <w:rPr>
          <w:rFonts w:cs="Arial"/>
        </w:rPr>
        <w:t xml:space="preserve"> </w:t>
      </w:r>
      <w:r w:rsidRPr="00D168C3">
        <w:rPr>
          <w:rFonts w:cs="Arial"/>
        </w:rPr>
        <w:t>Durch die automatische Einplanung der Wiederholungsprüfung wird das Verfahren klarer, transparenter und effizienter ausgestaltet.</w:t>
      </w:r>
    </w:p>
    <w:p w14:paraId="113FBCB6" w14:textId="77777777" w:rsidR="00C41D98" w:rsidRPr="00D168C3" w:rsidRDefault="00C41D98" w:rsidP="00AF188C">
      <w:pPr>
        <w:spacing w:after="0"/>
        <w:jc w:val="both"/>
        <w:rPr>
          <w:rFonts w:cs="Arial"/>
        </w:rPr>
      </w:pPr>
    </w:p>
    <w:p w14:paraId="165D7981" w14:textId="77777777" w:rsidR="00C41D98" w:rsidRPr="00D168C3" w:rsidRDefault="00C41D98" w:rsidP="00AF188C">
      <w:pPr>
        <w:pStyle w:val="Listenabsatz"/>
        <w:numPr>
          <w:ilvl w:val="0"/>
          <w:numId w:val="7"/>
        </w:numPr>
        <w:jc w:val="both"/>
        <w:rPr>
          <w:rFonts w:cs="Arial"/>
          <w:b/>
          <w:bCs/>
        </w:rPr>
      </w:pPr>
    </w:p>
    <w:p w14:paraId="4B7E5F78" w14:textId="1F8DD729" w:rsidR="00343316" w:rsidRPr="00D168C3" w:rsidRDefault="00C41D98" w:rsidP="00AF188C">
      <w:pPr>
        <w:spacing w:after="0"/>
        <w:jc w:val="both"/>
        <w:rPr>
          <w:rFonts w:cs="Arial"/>
        </w:rPr>
      </w:pPr>
      <w:r w:rsidRPr="00AD5CCB">
        <w:rPr>
          <w:rFonts w:cs="Arial"/>
        </w:rPr>
        <w:t>Zu Nummer 1:</w:t>
      </w:r>
    </w:p>
    <w:p w14:paraId="1E794015" w14:textId="3523F530" w:rsidR="003552BC" w:rsidRPr="00D168C3" w:rsidRDefault="003552BC" w:rsidP="00AF188C">
      <w:pPr>
        <w:spacing w:after="0"/>
        <w:jc w:val="both"/>
        <w:rPr>
          <w:rFonts w:cs="Arial"/>
        </w:rPr>
      </w:pPr>
      <w:r w:rsidRPr="00D168C3">
        <w:rPr>
          <w:rFonts w:cs="Arial"/>
        </w:rPr>
        <w:t>Die Pflicht zur Vorlage einer Geburtsurkunde entfällt, sofern die Identität durch einen gültigen amtlichen Identitätsnachweis (z. B. Personalausweis oder Reisepass) belegt wird. Die Identitäts- und Altersfeststellung kann regelmäßig anhand eines gültigen amtlichen Ausweisdokuments erfolgen. Eine zusätzliche Geburtsurkunde ist hierfür nicht erforderlich. Der Verzicht reduziert Beschaffungsaufwand und Kosten für Bewerbende und trägt zur Verwaltungsvereinfachung bei. Die materiellen Voraussetzungen für die Einstellung werden weiterhin geprüft.</w:t>
      </w:r>
    </w:p>
    <w:p w14:paraId="3AB4367D" w14:textId="77777777" w:rsidR="003552BC" w:rsidRPr="00D168C3" w:rsidRDefault="003552BC" w:rsidP="00AF188C">
      <w:pPr>
        <w:spacing w:after="0"/>
        <w:jc w:val="both"/>
        <w:rPr>
          <w:rFonts w:cs="Arial"/>
        </w:rPr>
      </w:pPr>
    </w:p>
    <w:p w14:paraId="23AF8A24" w14:textId="77777777" w:rsidR="008412EC" w:rsidRPr="00D168C3" w:rsidRDefault="008412EC" w:rsidP="00AF188C">
      <w:pPr>
        <w:pStyle w:val="Listenabsatz"/>
        <w:numPr>
          <w:ilvl w:val="0"/>
          <w:numId w:val="7"/>
        </w:numPr>
        <w:jc w:val="both"/>
        <w:rPr>
          <w:rFonts w:cs="Arial"/>
          <w:b/>
          <w:bCs/>
        </w:rPr>
      </w:pPr>
    </w:p>
    <w:p w14:paraId="16BB1DCD" w14:textId="14DC6922" w:rsidR="008412EC" w:rsidRPr="00AD5CCB" w:rsidRDefault="008412EC" w:rsidP="00AF188C">
      <w:pPr>
        <w:spacing w:after="0"/>
        <w:jc w:val="both"/>
        <w:rPr>
          <w:rFonts w:cs="Arial"/>
        </w:rPr>
      </w:pPr>
      <w:r w:rsidRPr="00AD5CCB">
        <w:rPr>
          <w:rFonts w:cs="Arial"/>
        </w:rPr>
        <w:t>Zu Nummer 1:</w:t>
      </w:r>
    </w:p>
    <w:p w14:paraId="668DA6F6" w14:textId="41CC66E8" w:rsidR="003552BC" w:rsidRPr="00AD5CCB" w:rsidRDefault="003552BC" w:rsidP="00AF188C">
      <w:pPr>
        <w:spacing w:after="0"/>
        <w:jc w:val="both"/>
        <w:rPr>
          <w:rFonts w:cs="Arial"/>
        </w:rPr>
      </w:pPr>
      <w:r w:rsidRPr="00AD5CCB">
        <w:rPr>
          <w:rFonts w:cs="Arial"/>
        </w:rPr>
        <w:t>Die Pflicht zur Vorlage einer Geburtsurkunde entfällt, sofern die Identität durch einen gültigen amtlichen Identitätsnachweis (z. B. Personalausweis oder Reisepass) belegt wird. Die Identitäts- und Altersfeststellung kann regelmäßig anhand eines gültigen amtlichen Ausweisdokuments erfolgen. Eine zusätzliche Geburtsurkunde ist hierfür nicht erforderlich. Der Verzicht reduziert Beschaffungsaufwand und Kosten für Bewerbende und trägt zur Verwaltungsvereinfachung bei. Die materiellen Voraussetzungen für die Einstellung werden weiterhin geprüft.</w:t>
      </w:r>
    </w:p>
    <w:p w14:paraId="5994A081" w14:textId="77777777" w:rsidR="003552BC" w:rsidRPr="00AD5CCB" w:rsidRDefault="003552BC" w:rsidP="00AF188C">
      <w:pPr>
        <w:spacing w:after="0"/>
        <w:jc w:val="both"/>
        <w:rPr>
          <w:rFonts w:cs="Arial"/>
        </w:rPr>
      </w:pPr>
    </w:p>
    <w:p w14:paraId="11D81811" w14:textId="0FB4E5BC" w:rsidR="008412EC" w:rsidRPr="00AD5CCB" w:rsidRDefault="008412EC" w:rsidP="00AF188C">
      <w:pPr>
        <w:spacing w:after="0"/>
        <w:jc w:val="both"/>
        <w:rPr>
          <w:rFonts w:cs="Arial"/>
        </w:rPr>
      </w:pPr>
      <w:r w:rsidRPr="00AD5CCB">
        <w:rPr>
          <w:rFonts w:cs="Arial"/>
        </w:rPr>
        <w:t>Zu Nummer 2:</w:t>
      </w:r>
    </w:p>
    <w:p w14:paraId="05E59E10" w14:textId="77777777" w:rsidR="005A6246" w:rsidRPr="00D168C3" w:rsidRDefault="005A6246" w:rsidP="00AF188C">
      <w:pPr>
        <w:spacing w:after="0"/>
        <w:jc w:val="both"/>
        <w:rPr>
          <w:rFonts w:cs="Arial"/>
        </w:rPr>
      </w:pPr>
      <w:r w:rsidRPr="00AD5CCB">
        <w:rPr>
          <w:rFonts w:cs="Arial"/>
        </w:rPr>
        <w:t>Die Neuregelung betrifft ausschließlich die Form des Nachweises im Einstellungsverfahren.</w:t>
      </w:r>
      <w:r w:rsidRPr="00D168C3">
        <w:rPr>
          <w:rFonts w:cs="Arial"/>
        </w:rPr>
        <w:t xml:space="preserve"> Die materiellen Anforderungen an die persönliche Eignung, insbesondere die Zuverlässigkeit und Integrität der Bewerberinnen und Bewerber, bleiben unverändert bestehen.</w:t>
      </w:r>
    </w:p>
    <w:p w14:paraId="23D3DE47" w14:textId="29885C21" w:rsidR="005A6246" w:rsidRDefault="0023454B" w:rsidP="00AD5CCB">
      <w:pPr>
        <w:spacing w:after="0"/>
        <w:jc w:val="both"/>
        <w:rPr>
          <w:rFonts w:cs="Arial"/>
        </w:rPr>
      </w:pPr>
      <w:r w:rsidRPr="00D168C3">
        <w:rPr>
          <w:rFonts w:cs="Arial"/>
        </w:rPr>
        <w:t xml:space="preserve">Die Fischereiverwaltung nimmt keine Aufgaben mit besonderer Sicherheitsrelevanz im Sinne klassischer Vollzugs- oder Sicherheitsbehörden wahr. </w:t>
      </w:r>
      <w:r w:rsidR="005A6246" w:rsidRPr="00D168C3">
        <w:rPr>
          <w:rFonts w:cs="Arial"/>
        </w:rPr>
        <w:t>Vor diesem Hintergrund ist eine differenzierte Ausgestaltung der Nachweisanforderungen sachgerecht. Eine generelle Verpflichtung zur Vorlage eines Führungszeugnisses für sämtliche Bewerberinnen und Bewerber ist nicht zwingend erforderlich, um die persönliche Eignung zu beurteilen. Die Selbsterklärung stellt ein milderes, aber geeignetes Mittel dar, um anhängige strafrechtliche Verfahren offenzulegen und die persönliche Verantwortungsübernahme zu dokumentieren.</w:t>
      </w:r>
    </w:p>
    <w:p w14:paraId="6F433713" w14:textId="77777777" w:rsidR="00AD5CCB" w:rsidRPr="00D168C3" w:rsidRDefault="00AD5CCB" w:rsidP="00AD5CCB">
      <w:pPr>
        <w:spacing w:after="0"/>
        <w:jc w:val="both"/>
        <w:rPr>
          <w:rFonts w:cs="Arial"/>
        </w:rPr>
      </w:pPr>
    </w:p>
    <w:p w14:paraId="3BE1D680" w14:textId="77777777" w:rsidR="008412EC" w:rsidRPr="00D168C3" w:rsidRDefault="008412EC" w:rsidP="00AF188C">
      <w:pPr>
        <w:pStyle w:val="Listenabsatz"/>
        <w:numPr>
          <w:ilvl w:val="0"/>
          <w:numId w:val="7"/>
        </w:numPr>
        <w:jc w:val="both"/>
        <w:rPr>
          <w:rFonts w:cs="Arial"/>
          <w:b/>
          <w:bCs/>
        </w:rPr>
      </w:pPr>
    </w:p>
    <w:p w14:paraId="4495A4D8" w14:textId="1B7DCC61" w:rsidR="008412EC" w:rsidRPr="00D168C3" w:rsidRDefault="008412EC" w:rsidP="00AF188C">
      <w:pPr>
        <w:spacing w:after="0"/>
        <w:jc w:val="both"/>
        <w:rPr>
          <w:rFonts w:cs="Arial"/>
        </w:rPr>
      </w:pPr>
      <w:r w:rsidRPr="00AD5CCB">
        <w:rPr>
          <w:rFonts w:cs="Arial"/>
        </w:rPr>
        <w:t>Zu Nummer 1:</w:t>
      </w:r>
    </w:p>
    <w:p w14:paraId="008D8F36" w14:textId="37295860" w:rsidR="003552BC" w:rsidRPr="00D168C3" w:rsidRDefault="003552BC" w:rsidP="00AF188C">
      <w:pPr>
        <w:jc w:val="both"/>
        <w:rPr>
          <w:rFonts w:cs="Arial"/>
        </w:rPr>
      </w:pPr>
      <w:r w:rsidRPr="00D168C3">
        <w:rPr>
          <w:rFonts w:cs="Arial"/>
        </w:rPr>
        <w:t>Die Pflicht zur Vorlage einer Geburtsurkunde entfällt, sofern die Identität durch einen gültigen amtlichen Identitätsnachweis (z. B. Personalausweis oder Reisepass) belegt wird. Die Identitäts- und Altersfeststellung kann regelmäßig anhand eines gültigen amtlichen Ausweisdokuments erfolgen. Eine zusätzliche Geburtsurkunde ist hierfür nicht erforderlich. Der Verzicht reduziert Beschaffungsaufwand und Kosten für Bewerbende und trägt zur Verwaltungsvereinfachung bei. Die materiellen Voraussetzungen für die Einstellung werden weiterhin geprüft.</w:t>
      </w:r>
    </w:p>
    <w:p w14:paraId="6B0BAC17" w14:textId="77777777" w:rsidR="008412EC" w:rsidRPr="00D168C3" w:rsidRDefault="008412EC" w:rsidP="00AF188C">
      <w:pPr>
        <w:pStyle w:val="Listenabsatz"/>
        <w:numPr>
          <w:ilvl w:val="0"/>
          <w:numId w:val="7"/>
        </w:numPr>
        <w:jc w:val="both"/>
        <w:rPr>
          <w:rFonts w:cs="Arial"/>
          <w:b/>
          <w:bCs/>
        </w:rPr>
      </w:pPr>
    </w:p>
    <w:p w14:paraId="3EF0501C" w14:textId="2F67836C" w:rsidR="008412EC" w:rsidRPr="00D168C3" w:rsidRDefault="008412EC" w:rsidP="00AF188C">
      <w:pPr>
        <w:spacing w:after="0"/>
        <w:jc w:val="both"/>
        <w:rPr>
          <w:rFonts w:cs="Arial"/>
        </w:rPr>
      </w:pPr>
      <w:r w:rsidRPr="00AD5CCB">
        <w:rPr>
          <w:rFonts w:cs="Arial"/>
        </w:rPr>
        <w:lastRenderedPageBreak/>
        <w:t>Zu Nummer 1</w:t>
      </w:r>
      <w:r w:rsidR="00AD5CCB">
        <w:rPr>
          <w:rFonts w:cs="Arial"/>
        </w:rPr>
        <w:t xml:space="preserve"> und</w:t>
      </w:r>
      <w:r w:rsidRPr="00AD5CCB">
        <w:rPr>
          <w:rFonts w:cs="Arial"/>
        </w:rPr>
        <w:t xml:space="preserve"> 2:</w:t>
      </w:r>
      <w:r w:rsidRPr="00D168C3">
        <w:rPr>
          <w:rFonts w:cs="Arial"/>
        </w:rPr>
        <w:t xml:space="preserve"> </w:t>
      </w:r>
    </w:p>
    <w:p w14:paraId="086E596B" w14:textId="74DEDAEB" w:rsidR="003552BC" w:rsidRPr="00D168C3" w:rsidRDefault="003552BC" w:rsidP="00AF188C">
      <w:pPr>
        <w:spacing w:after="0"/>
        <w:jc w:val="both"/>
        <w:rPr>
          <w:rFonts w:cs="Arial"/>
        </w:rPr>
      </w:pPr>
      <w:r w:rsidRPr="00D168C3">
        <w:rPr>
          <w:rFonts w:cs="Arial"/>
        </w:rPr>
        <w:t>Die Pflicht zur Vorlage einer Geburtsurkunde entfällt, sofern die Identität durch einen gültigen amtlichen Identitätsnachweis (z. B. Personalausweis oder Reisepass) belegt wird. Die Identitäts- und Altersfeststellung kann regelmäßig anhand eines gültigen amtlichen Ausweisdokuments erfolgen. Eine zusätzliche Geburtsurkunde ist hierfür nicht erforderlich. Der Verzicht reduziert Beschaffungsaufwand und Kosten für Bewerbende und trägt zur Verwaltungsvereinfachung bei. Die materiellen Voraussetzungen für die Einstellung werden weiterhin geprüft.</w:t>
      </w:r>
    </w:p>
    <w:p w14:paraId="4556F47B" w14:textId="33EDF9F0" w:rsidR="008412EC" w:rsidRPr="00D168C3" w:rsidRDefault="008412EC" w:rsidP="00AF188C">
      <w:pPr>
        <w:spacing w:after="0"/>
        <w:jc w:val="both"/>
        <w:rPr>
          <w:rFonts w:cs="Arial"/>
        </w:rPr>
      </w:pPr>
    </w:p>
    <w:p w14:paraId="4B9A2B34" w14:textId="6FB47E10" w:rsidR="008412EC" w:rsidRPr="00D168C3" w:rsidRDefault="008412EC" w:rsidP="00AF188C">
      <w:pPr>
        <w:spacing w:after="0"/>
        <w:jc w:val="both"/>
        <w:rPr>
          <w:rFonts w:cs="Arial"/>
        </w:rPr>
      </w:pPr>
      <w:r w:rsidRPr="00AD5CCB">
        <w:rPr>
          <w:rFonts w:cs="Arial"/>
        </w:rPr>
        <w:t>Zu Nummer 3:</w:t>
      </w:r>
    </w:p>
    <w:p w14:paraId="2DFB6321" w14:textId="62746209" w:rsidR="003552BC" w:rsidRPr="00D168C3" w:rsidRDefault="003552BC" w:rsidP="00AF188C">
      <w:pPr>
        <w:spacing w:after="0"/>
        <w:jc w:val="both"/>
        <w:rPr>
          <w:rFonts w:cs="Arial"/>
        </w:rPr>
      </w:pPr>
      <w:r w:rsidRPr="00D168C3">
        <w:rPr>
          <w:rFonts w:cs="Arial"/>
        </w:rPr>
        <w:t xml:space="preserve">Die bisherige Kombination aus Führungszeugnis und Selbsterklärung führte zu einer inhaltlichen Überschneidung der Nachweise. Beide Instrumente dienten der Überprüfung der charakterlichen Eignung. Die parallele Vorlage beider Dokumente ist nicht erforderlich, um diesen Zweck zu erreichen. Das Führungszeugnis bildet lediglich einen Ausschnitt strafrechtlich relevanter Sachverhalte ab. Die Selbsterklärung erfasst darüber hinaus auch anhängige Ermittlungs- oder Strafverfahren, die im Führungszeugnis nicht zwingend erscheinen. Insofern ist die Erklärung zur Erreichung des Prüfungszwecks ein geeignetes Mittel. Die materiellen Voraussetzungen für die Einstellung bleiben unverändert. </w:t>
      </w:r>
    </w:p>
    <w:p w14:paraId="7E5CBCD0" w14:textId="5D8B0B0E" w:rsidR="003552BC" w:rsidRPr="00D168C3" w:rsidRDefault="003552BC" w:rsidP="00AF188C">
      <w:pPr>
        <w:spacing w:after="0"/>
        <w:jc w:val="both"/>
        <w:rPr>
          <w:rFonts w:cs="Arial"/>
        </w:rPr>
      </w:pPr>
      <w:r w:rsidRPr="00D168C3">
        <w:rPr>
          <w:rFonts w:cs="Arial"/>
        </w:rPr>
        <w:t>Die verpflichtende Vorlage eines Führungszeugnisses verursacht Gebühren, Zeitaufwand und Verwaltungsaufwand. Da die charakterliche Eignung auch durch eine Selbsterklärung überprüft werden kann und weitergehende Prüfungen bei Bedarf möglich bleiben, ist die zusätzliche Vorlage eines Führungszeugnisses im Regelfall nicht erforderlich. Die Neuregelung reduziert daher bürokratischen Aufwand für Bewerbende und Verwaltung, ohne das Schutzniveau zu senken.</w:t>
      </w:r>
    </w:p>
    <w:p w14:paraId="3A33F513" w14:textId="77777777" w:rsidR="0079171F" w:rsidRPr="00D168C3" w:rsidRDefault="0079171F" w:rsidP="00AF188C">
      <w:pPr>
        <w:spacing w:after="0"/>
        <w:jc w:val="both"/>
        <w:rPr>
          <w:rFonts w:cs="Arial"/>
        </w:rPr>
      </w:pPr>
    </w:p>
    <w:p w14:paraId="7305996D" w14:textId="77777777" w:rsidR="0079171F" w:rsidRPr="00D168C3" w:rsidRDefault="0079171F" w:rsidP="0079171F">
      <w:pPr>
        <w:pStyle w:val="Listenabsatz"/>
        <w:numPr>
          <w:ilvl w:val="0"/>
          <w:numId w:val="7"/>
        </w:numPr>
        <w:jc w:val="both"/>
        <w:rPr>
          <w:rFonts w:cs="Arial"/>
          <w:b/>
          <w:bCs/>
        </w:rPr>
      </w:pPr>
    </w:p>
    <w:p w14:paraId="24F2EA44" w14:textId="52EA53EC" w:rsidR="0034224C" w:rsidRPr="00D168C3" w:rsidRDefault="0034224C" w:rsidP="00AF188C">
      <w:pPr>
        <w:spacing w:after="0"/>
        <w:jc w:val="both"/>
        <w:rPr>
          <w:rFonts w:cs="Arial"/>
        </w:rPr>
      </w:pPr>
      <w:r w:rsidRPr="00D168C3">
        <w:rPr>
          <w:rFonts w:cs="Arial"/>
        </w:rPr>
        <w:t>Zu Nummer 1</w:t>
      </w:r>
      <w:r w:rsidR="002B4372" w:rsidRPr="00D168C3">
        <w:rPr>
          <w:rFonts w:cs="Arial"/>
        </w:rPr>
        <w:t>:</w:t>
      </w:r>
    </w:p>
    <w:p w14:paraId="50E39D5F" w14:textId="071019FD" w:rsidR="0034224C" w:rsidRPr="00D168C3" w:rsidRDefault="0034224C" w:rsidP="00AF188C">
      <w:pPr>
        <w:spacing w:after="0"/>
        <w:jc w:val="both"/>
        <w:rPr>
          <w:rFonts w:cs="Arial"/>
        </w:rPr>
      </w:pPr>
      <w:r w:rsidRPr="00D168C3">
        <w:rPr>
          <w:rFonts w:cs="Arial"/>
        </w:rPr>
        <w:t xml:space="preserve">Die bisher in der Verordnung enthaltene Bezeichnung ist aufgrund verschiedener Ressortumbildungen so veraltet, dass Betroffene die richtige Behörde nicht mehr identifizieren können. Durch die Änderung wird mit der allgemeineren Formulierung "das für das Veterinärwesen zuständige Ministerium" sichergestellt, dass das richtige Ministerium identifiziert werden kann und weitere Änderungen bei künftigen Ressortumbildungen nicht erforderlich sind. Die Klarstellung trägt wesentlich zur Beschleunigung des Verfahrens bei, da Nachfragen und lange behördliche Weiterleitungen aufgrund der falschen Bezeichnung an das zuständige Ministerium vermieden werden. </w:t>
      </w:r>
    </w:p>
    <w:p w14:paraId="0FC1B397" w14:textId="5926A2C3" w:rsidR="0034224C" w:rsidRPr="00D168C3" w:rsidRDefault="0034224C" w:rsidP="00AF188C">
      <w:pPr>
        <w:spacing w:after="0"/>
        <w:jc w:val="both"/>
        <w:rPr>
          <w:rFonts w:cs="Arial"/>
        </w:rPr>
      </w:pPr>
    </w:p>
    <w:p w14:paraId="3A3EEB8C" w14:textId="3C3238AC" w:rsidR="00796694" w:rsidRPr="00D168C3" w:rsidRDefault="00796694" w:rsidP="00AF188C">
      <w:pPr>
        <w:spacing w:after="0"/>
        <w:jc w:val="both"/>
        <w:rPr>
          <w:rFonts w:cs="Arial"/>
        </w:rPr>
      </w:pPr>
      <w:r w:rsidRPr="00D168C3">
        <w:rPr>
          <w:rFonts w:cs="Arial"/>
        </w:rPr>
        <w:t>Zu Nummer 2 Buchstabe a:</w:t>
      </w:r>
    </w:p>
    <w:p w14:paraId="6DB4F4CD" w14:textId="38551568" w:rsidR="00796694" w:rsidRPr="00D168C3" w:rsidRDefault="002B4372" w:rsidP="002B4372">
      <w:pPr>
        <w:jc w:val="both"/>
        <w:rPr>
          <w:rFonts w:cs="Arial"/>
        </w:rPr>
      </w:pPr>
      <w:r w:rsidRPr="00D168C3">
        <w:rPr>
          <w:rFonts w:cs="Arial"/>
        </w:rPr>
        <w:t xml:space="preserve">Siehe Begründung Nummer 1. </w:t>
      </w:r>
    </w:p>
    <w:p w14:paraId="1C2A3C6E" w14:textId="628C285B" w:rsidR="0034224C" w:rsidRPr="00D168C3" w:rsidRDefault="0034224C" w:rsidP="00AF188C">
      <w:pPr>
        <w:spacing w:after="0"/>
        <w:jc w:val="both"/>
        <w:rPr>
          <w:rFonts w:cs="Arial"/>
        </w:rPr>
      </w:pPr>
      <w:r w:rsidRPr="00D168C3">
        <w:rPr>
          <w:rFonts w:cs="Arial"/>
        </w:rPr>
        <w:t xml:space="preserve">Zu Nummer 2 </w:t>
      </w:r>
      <w:r w:rsidR="00996ADF" w:rsidRPr="00D168C3">
        <w:rPr>
          <w:rFonts w:cs="Arial"/>
        </w:rPr>
        <w:t>Buchstabe b</w:t>
      </w:r>
      <w:r w:rsidRPr="00D168C3">
        <w:rPr>
          <w:rFonts w:cs="Arial"/>
        </w:rPr>
        <w:t>:</w:t>
      </w:r>
    </w:p>
    <w:p w14:paraId="3DF3B13B" w14:textId="25B8D013" w:rsidR="00996ADF" w:rsidRPr="00D168C3" w:rsidRDefault="00996ADF" w:rsidP="001E6F57">
      <w:pPr>
        <w:jc w:val="both"/>
        <w:rPr>
          <w:rFonts w:cs="Arial"/>
        </w:rPr>
      </w:pPr>
      <w:r w:rsidRPr="00D168C3">
        <w:rPr>
          <w:rFonts w:cs="Arial"/>
        </w:rPr>
        <w:t xml:space="preserve">Zur Entlastung der Betroffenen ist das Einreichen eines Lichtbildes sowie des Zeugnisses der allgemeinen Hochschulreife künftig nicht mehr erforderlich. </w:t>
      </w:r>
    </w:p>
    <w:p w14:paraId="4792117B" w14:textId="7C08DD44" w:rsidR="00996ADF" w:rsidRPr="00D168C3" w:rsidRDefault="00996ADF" w:rsidP="00AF188C">
      <w:pPr>
        <w:spacing w:after="0"/>
        <w:jc w:val="both"/>
        <w:rPr>
          <w:rFonts w:cs="Arial"/>
        </w:rPr>
      </w:pPr>
      <w:r w:rsidRPr="00D168C3">
        <w:rPr>
          <w:rFonts w:cs="Arial"/>
        </w:rPr>
        <w:t>Zu Nummer 3 Buchstabe a:</w:t>
      </w:r>
    </w:p>
    <w:p w14:paraId="5635B10C" w14:textId="355BA756" w:rsidR="001E6F57" w:rsidRPr="00D168C3" w:rsidRDefault="00996ADF" w:rsidP="001E6F57">
      <w:pPr>
        <w:jc w:val="both"/>
        <w:rPr>
          <w:rFonts w:cs="Arial"/>
        </w:rPr>
      </w:pPr>
      <w:r w:rsidRPr="00D168C3">
        <w:rPr>
          <w:rFonts w:cs="Arial"/>
        </w:rPr>
        <w:t>Zur Entlastung der Betroffenen ist die Vorlage der Geburtsurkunde künftig nicht mehr erforderlich.</w:t>
      </w:r>
    </w:p>
    <w:p w14:paraId="276FACBD" w14:textId="3EFE1D06" w:rsidR="00796694" w:rsidRPr="00D168C3" w:rsidRDefault="00796694" w:rsidP="00AF188C">
      <w:pPr>
        <w:spacing w:after="0"/>
        <w:jc w:val="both"/>
        <w:rPr>
          <w:rFonts w:cs="Arial"/>
        </w:rPr>
      </w:pPr>
      <w:r w:rsidRPr="00D168C3">
        <w:rPr>
          <w:rFonts w:cs="Arial"/>
        </w:rPr>
        <w:t>Zu Nummer 3 Buchstabe b:</w:t>
      </w:r>
    </w:p>
    <w:p w14:paraId="48B38F58" w14:textId="33230336" w:rsidR="001E6F57" w:rsidRPr="00D168C3" w:rsidRDefault="001E6F57" w:rsidP="001E6F57">
      <w:pPr>
        <w:jc w:val="both"/>
        <w:rPr>
          <w:rFonts w:cs="Arial"/>
        </w:rPr>
      </w:pPr>
      <w:r w:rsidRPr="00D168C3">
        <w:rPr>
          <w:rFonts w:cs="Arial"/>
        </w:rPr>
        <w:t xml:space="preserve">Siehe Begründung Nummer 1. </w:t>
      </w:r>
    </w:p>
    <w:p w14:paraId="6B9AA87F" w14:textId="6B275798" w:rsidR="00796694" w:rsidRPr="00D168C3" w:rsidRDefault="00796694" w:rsidP="001E6F57">
      <w:pPr>
        <w:spacing w:after="0"/>
        <w:jc w:val="both"/>
        <w:rPr>
          <w:rFonts w:cs="Arial"/>
        </w:rPr>
      </w:pPr>
      <w:r w:rsidRPr="00D168C3">
        <w:rPr>
          <w:rFonts w:cs="Arial"/>
        </w:rPr>
        <w:lastRenderedPageBreak/>
        <w:t>Zu Nummer 4 Buchstabe a:</w:t>
      </w:r>
    </w:p>
    <w:p w14:paraId="7587A974" w14:textId="613EEC95" w:rsidR="00796694" w:rsidRPr="00D168C3" w:rsidRDefault="001E6F57" w:rsidP="001E6F57">
      <w:pPr>
        <w:jc w:val="both"/>
        <w:rPr>
          <w:rFonts w:cs="Arial"/>
        </w:rPr>
      </w:pPr>
      <w:r w:rsidRPr="00D168C3">
        <w:rPr>
          <w:rFonts w:cs="Arial"/>
        </w:rPr>
        <w:t xml:space="preserve">Siehe Begründung Nummer 1. </w:t>
      </w:r>
    </w:p>
    <w:p w14:paraId="0E576D60" w14:textId="21F079BC" w:rsidR="00996ADF" w:rsidRPr="00D168C3" w:rsidRDefault="00996ADF" w:rsidP="00AF188C">
      <w:pPr>
        <w:spacing w:after="0"/>
        <w:jc w:val="both"/>
        <w:rPr>
          <w:rFonts w:cs="Arial"/>
        </w:rPr>
      </w:pPr>
      <w:bookmarkStart w:id="0" w:name="_Hlk222484126"/>
      <w:r w:rsidRPr="00D168C3">
        <w:rPr>
          <w:rFonts w:cs="Arial"/>
        </w:rPr>
        <w:t>Zu Nummer 4 Buchstabe b:</w:t>
      </w:r>
    </w:p>
    <w:p w14:paraId="65567166" w14:textId="7A260DC5" w:rsidR="002B4372" w:rsidRPr="00D168C3" w:rsidRDefault="00796694" w:rsidP="00AD5CCB">
      <w:pPr>
        <w:jc w:val="both"/>
        <w:rPr>
          <w:rFonts w:cs="Arial"/>
        </w:rPr>
      </w:pPr>
      <w:r w:rsidRPr="00D168C3">
        <w:rPr>
          <w:rFonts w:cs="Arial"/>
        </w:rPr>
        <w:t>Die Aufnahme der Tierseuchenkasse als weitere Ausbildungsstelle trägt zu einer noch umfassenderen Ausbildung und Qualifizierung der Fachkräfte im Land bei.</w:t>
      </w:r>
      <w:r w:rsidR="00996ADF" w:rsidRPr="00D168C3">
        <w:rPr>
          <w:rFonts w:cs="Arial"/>
        </w:rPr>
        <w:t xml:space="preserve"> Mögliche Schäden – wie Seuchen – können somit schneller für das Land M-V abgewendet</w:t>
      </w:r>
      <w:r w:rsidRPr="00D168C3">
        <w:rPr>
          <w:rFonts w:cs="Arial"/>
        </w:rPr>
        <w:t xml:space="preserve"> bzw. </w:t>
      </w:r>
      <w:r w:rsidR="00996ADF" w:rsidRPr="00D168C3">
        <w:rPr>
          <w:rFonts w:cs="Arial"/>
        </w:rPr>
        <w:t>verhindert werden.</w:t>
      </w:r>
    </w:p>
    <w:p w14:paraId="0833919C" w14:textId="5A1B9FD4" w:rsidR="002B4372" w:rsidRPr="00D168C3" w:rsidRDefault="002B4372" w:rsidP="002B4372">
      <w:pPr>
        <w:spacing w:after="0"/>
        <w:jc w:val="both"/>
        <w:rPr>
          <w:rFonts w:cs="Arial"/>
        </w:rPr>
      </w:pPr>
      <w:r w:rsidRPr="00D168C3">
        <w:rPr>
          <w:rFonts w:cs="Arial"/>
        </w:rPr>
        <w:t>Zu Nummer 5 Buchstabe a und b:</w:t>
      </w:r>
    </w:p>
    <w:p w14:paraId="31140DDE" w14:textId="6958B0EF" w:rsidR="00796694" w:rsidRPr="00D168C3" w:rsidRDefault="002B4372" w:rsidP="001E6F57">
      <w:pPr>
        <w:jc w:val="both"/>
        <w:rPr>
          <w:rFonts w:cs="Arial"/>
        </w:rPr>
      </w:pPr>
      <w:r w:rsidRPr="00D168C3">
        <w:rPr>
          <w:rFonts w:cs="Arial"/>
        </w:rPr>
        <w:t>Die Anpassung erfolgt infolge der Aufnahme der Tierseuchenkasse als weitere Ausbildungsstelle. Zur Integration der zweiwöchigen Ausbildung bei der Tierseuchenkasse wird die bisher siebenmonatige Ausbildungszeit im für das Veterinärwesen zuständigen Ministerium entsprechend um zwei Wochen reduziert.</w:t>
      </w:r>
      <w:bookmarkEnd w:id="0"/>
    </w:p>
    <w:p w14:paraId="7544048B" w14:textId="47F9AF8B" w:rsidR="001A59C2" w:rsidRPr="00D168C3" w:rsidRDefault="001A59C2" w:rsidP="00AF188C">
      <w:pPr>
        <w:spacing w:after="0"/>
        <w:jc w:val="both"/>
        <w:rPr>
          <w:rFonts w:cs="Arial"/>
        </w:rPr>
      </w:pPr>
      <w:r w:rsidRPr="00D168C3">
        <w:rPr>
          <w:rFonts w:cs="Arial"/>
        </w:rPr>
        <w:t>Zu Nummer 6:</w:t>
      </w:r>
    </w:p>
    <w:p w14:paraId="239EE523" w14:textId="73631FFA" w:rsidR="001A59C2" w:rsidRPr="00D168C3" w:rsidRDefault="001A59C2" w:rsidP="00AD5CCB">
      <w:pPr>
        <w:jc w:val="both"/>
        <w:rPr>
          <w:rFonts w:cs="Arial"/>
        </w:rPr>
      </w:pPr>
      <w:r w:rsidRPr="00D168C3">
        <w:rPr>
          <w:rFonts w:cs="Arial"/>
        </w:rPr>
        <w:t>Durch die Änderung wird der Verwaltungsaufwand reduziert. Da Befähigungsberichte nicht mehr in die Gesamtbewertung der Leistungen in der Laufbahnprüfung einfließen, entfällt die bislang regelmäßig mit erheblichem Aufwand für die Ausbildungsstellen verbundene Verhaltensbeurteilung im Befähigungsbericht. Insoweit ist künftig lediglich ein Ausbildungsnachweis erforderlich.</w:t>
      </w:r>
    </w:p>
    <w:p w14:paraId="1389B26A" w14:textId="3B959A0F" w:rsidR="001E6F57" w:rsidRPr="00D168C3" w:rsidRDefault="001E6F57" w:rsidP="00AF188C">
      <w:pPr>
        <w:spacing w:after="0"/>
        <w:jc w:val="both"/>
        <w:rPr>
          <w:rFonts w:cs="Arial"/>
        </w:rPr>
      </w:pPr>
      <w:r w:rsidRPr="00D168C3">
        <w:rPr>
          <w:rFonts w:cs="Arial"/>
        </w:rPr>
        <w:t xml:space="preserve">Zu Nummer </w:t>
      </w:r>
      <w:r w:rsidR="001A59C2" w:rsidRPr="00D168C3">
        <w:rPr>
          <w:rFonts w:cs="Arial"/>
        </w:rPr>
        <w:t>7</w:t>
      </w:r>
      <w:r w:rsidRPr="00D168C3">
        <w:rPr>
          <w:rFonts w:cs="Arial"/>
        </w:rPr>
        <w:t>:</w:t>
      </w:r>
    </w:p>
    <w:p w14:paraId="12D2DD5F" w14:textId="4502C302" w:rsidR="001E6F57" w:rsidRPr="00D168C3" w:rsidRDefault="001E6F57" w:rsidP="00AF188C">
      <w:pPr>
        <w:spacing w:after="0"/>
        <w:jc w:val="both"/>
        <w:rPr>
          <w:rFonts w:cs="Arial"/>
        </w:rPr>
      </w:pPr>
      <w:r w:rsidRPr="00D168C3">
        <w:rPr>
          <w:rFonts w:cs="Arial"/>
        </w:rPr>
        <w:t xml:space="preserve">§ 13 regelt bisher u.a., dass dem Prüfungsausschuss für den tierärztlichen Dienst (nur) Beamte angehören. Die Änderung, dass auch Angestellte Mitglied des Ausschusses werden können, ist notwendig, da es sowohl in nachgeordneten Behörden als auch im Ministerium weniger Beamtenstellen gibt und die Arbeit zunehmend von Angestellten wahrgenommen wird. Es wurde in den letzten Jahren </w:t>
      </w:r>
      <w:r w:rsidR="00873834" w:rsidRPr="00D168C3">
        <w:rPr>
          <w:rFonts w:cs="Arial"/>
        </w:rPr>
        <w:t xml:space="preserve">demnach </w:t>
      </w:r>
      <w:r w:rsidRPr="00D168C3">
        <w:rPr>
          <w:rFonts w:cs="Arial"/>
        </w:rPr>
        <w:t>schwieriger, Mitglieder für den Prüfungsausschuss zu finden. Ziel der Änderung ist es, den Kreis der für die Besetzung des Prüfungsausschusses in Betracht kommenden Personen zu erweitern. Die Prüfungskommission kann dadurch schneller und verlässlicher gebildet werden. Zugleich können durch eine schlanke Verwaltung wichtige Fachkräfte für das Land M-V gewonnen werden</w:t>
      </w:r>
      <w:r w:rsidR="00064BA7" w:rsidRPr="00D168C3">
        <w:rPr>
          <w:rFonts w:cs="Arial"/>
        </w:rPr>
        <w:t>.</w:t>
      </w:r>
    </w:p>
    <w:p w14:paraId="15FFEDFC" w14:textId="77777777" w:rsidR="00064BA7" w:rsidRPr="00D168C3" w:rsidRDefault="00064BA7" w:rsidP="00AF188C">
      <w:pPr>
        <w:spacing w:after="0"/>
        <w:jc w:val="both"/>
        <w:rPr>
          <w:rFonts w:cs="Arial"/>
        </w:rPr>
      </w:pPr>
    </w:p>
    <w:p w14:paraId="37F41359" w14:textId="0F9D4465" w:rsidR="00064BA7" w:rsidRPr="00D168C3" w:rsidRDefault="00064BA7" w:rsidP="00AF188C">
      <w:pPr>
        <w:spacing w:after="0"/>
        <w:jc w:val="both"/>
        <w:rPr>
          <w:rFonts w:cs="Arial"/>
        </w:rPr>
      </w:pPr>
      <w:r w:rsidRPr="00D168C3">
        <w:rPr>
          <w:rFonts w:cs="Arial"/>
        </w:rPr>
        <w:t xml:space="preserve">Zu Nummer </w:t>
      </w:r>
      <w:r w:rsidR="001A59C2" w:rsidRPr="00D168C3">
        <w:rPr>
          <w:rFonts w:cs="Arial"/>
        </w:rPr>
        <w:t>8</w:t>
      </w:r>
      <w:r w:rsidRPr="00D168C3">
        <w:rPr>
          <w:rFonts w:cs="Arial"/>
        </w:rPr>
        <w:t>:</w:t>
      </w:r>
    </w:p>
    <w:p w14:paraId="1007D3B5" w14:textId="77777777" w:rsidR="00064BA7" w:rsidRPr="00D168C3" w:rsidRDefault="00064BA7" w:rsidP="00064BA7">
      <w:pPr>
        <w:jc w:val="both"/>
        <w:rPr>
          <w:rFonts w:cs="Arial"/>
        </w:rPr>
      </w:pPr>
      <w:r w:rsidRPr="00D168C3">
        <w:rPr>
          <w:rFonts w:cs="Arial"/>
        </w:rPr>
        <w:t xml:space="preserve">Siehe Begründung Nummer 1. </w:t>
      </w:r>
    </w:p>
    <w:p w14:paraId="1BEC9C14" w14:textId="30999A2C" w:rsidR="00F6266C" w:rsidRPr="00D168C3" w:rsidRDefault="00F6266C" w:rsidP="00AF188C">
      <w:pPr>
        <w:spacing w:after="0"/>
        <w:jc w:val="both"/>
        <w:rPr>
          <w:rFonts w:cs="Arial"/>
        </w:rPr>
      </w:pPr>
      <w:r w:rsidRPr="00D168C3">
        <w:rPr>
          <w:rFonts w:cs="Arial"/>
        </w:rPr>
        <w:t xml:space="preserve">Zu Nummer </w:t>
      </w:r>
      <w:r w:rsidR="001A59C2" w:rsidRPr="00D168C3">
        <w:rPr>
          <w:rFonts w:cs="Arial"/>
        </w:rPr>
        <w:t>9</w:t>
      </w:r>
      <w:r w:rsidRPr="00D168C3">
        <w:rPr>
          <w:rFonts w:cs="Arial"/>
        </w:rPr>
        <w:t>:</w:t>
      </w:r>
    </w:p>
    <w:p w14:paraId="5B0FEB1E" w14:textId="095E2D4B" w:rsidR="00F6266C" w:rsidRPr="00D168C3" w:rsidRDefault="00F6266C" w:rsidP="00AF188C">
      <w:pPr>
        <w:spacing w:after="0"/>
        <w:jc w:val="both"/>
        <w:rPr>
          <w:rFonts w:cs="Arial"/>
        </w:rPr>
      </w:pPr>
      <w:r w:rsidRPr="00D168C3">
        <w:rPr>
          <w:rFonts w:cs="Arial"/>
        </w:rPr>
        <w:t>Folgeänderung zur Anpassung der §§ 5 und 6.</w:t>
      </w:r>
    </w:p>
    <w:p w14:paraId="7CFC436D" w14:textId="74B39ABD" w:rsidR="00F6266C" w:rsidRPr="00D168C3" w:rsidRDefault="00F6266C" w:rsidP="00AF188C">
      <w:pPr>
        <w:spacing w:after="0"/>
        <w:jc w:val="both"/>
        <w:rPr>
          <w:rFonts w:cs="Arial"/>
        </w:rPr>
      </w:pPr>
    </w:p>
    <w:p w14:paraId="29444577" w14:textId="3CA9C28A" w:rsidR="00F6266C" w:rsidRPr="00D168C3" w:rsidRDefault="00F6266C" w:rsidP="00AF188C">
      <w:pPr>
        <w:spacing w:after="0"/>
        <w:jc w:val="both"/>
        <w:rPr>
          <w:rFonts w:cs="Arial"/>
        </w:rPr>
      </w:pPr>
      <w:r w:rsidRPr="00D168C3">
        <w:rPr>
          <w:rFonts w:cs="Arial"/>
        </w:rPr>
        <w:t xml:space="preserve">Zu Nummer </w:t>
      </w:r>
      <w:r w:rsidR="001A59C2" w:rsidRPr="00D168C3">
        <w:rPr>
          <w:rFonts w:cs="Arial"/>
        </w:rPr>
        <w:t>10</w:t>
      </w:r>
      <w:r w:rsidRPr="00D168C3">
        <w:rPr>
          <w:rFonts w:cs="Arial"/>
        </w:rPr>
        <w:t>:</w:t>
      </w:r>
    </w:p>
    <w:p w14:paraId="635D5EA1" w14:textId="5AFBF5B4" w:rsidR="00F6266C" w:rsidRPr="00D168C3" w:rsidRDefault="00F6266C" w:rsidP="00F6266C">
      <w:pPr>
        <w:spacing w:after="0"/>
        <w:jc w:val="both"/>
        <w:rPr>
          <w:rFonts w:cs="Arial"/>
        </w:rPr>
      </w:pPr>
      <w:r w:rsidRPr="00D168C3">
        <w:rPr>
          <w:rFonts w:cs="Arial"/>
        </w:rPr>
        <w:t>Folgeänderung zur Anpassung des § 10.</w:t>
      </w:r>
    </w:p>
    <w:p w14:paraId="0F0DD9C7" w14:textId="2168638A" w:rsidR="001B20C2" w:rsidRPr="00D168C3" w:rsidRDefault="001B20C2" w:rsidP="00F6266C">
      <w:pPr>
        <w:spacing w:after="0"/>
        <w:jc w:val="both"/>
        <w:rPr>
          <w:rFonts w:cs="Arial"/>
        </w:rPr>
      </w:pPr>
    </w:p>
    <w:p w14:paraId="0AF3D03F" w14:textId="77777777" w:rsidR="001B20C2" w:rsidRPr="00D168C3" w:rsidRDefault="001B20C2" w:rsidP="001B20C2">
      <w:pPr>
        <w:pStyle w:val="Listenabsatz"/>
        <w:numPr>
          <w:ilvl w:val="0"/>
          <w:numId w:val="7"/>
        </w:numPr>
        <w:jc w:val="both"/>
        <w:rPr>
          <w:rFonts w:cs="Arial"/>
          <w:b/>
          <w:bCs/>
        </w:rPr>
      </w:pPr>
    </w:p>
    <w:p w14:paraId="3CBF5A1C" w14:textId="0BBABF53" w:rsidR="001B20C2" w:rsidRPr="00D168C3" w:rsidRDefault="001B20C2" w:rsidP="00F6266C">
      <w:pPr>
        <w:spacing w:after="0"/>
        <w:jc w:val="both"/>
        <w:rPr>
          <w:rFonts w:cs="Arial"/>
        </w:rPr>
      </w:pPr>
      <w:r w:rsidRPr="00D168C3">
        <w:rPr>
          <w:rFonts w:cs="Arial"/>
        </w:rPr>
        <w:t>Die Untersuchungen von Planproben nach dem Nationalen Rückstandskontrollplan, die an landwirtschaftlichen Nutztieren in Erzeugerbetrieben entnommen werden, werden gebührenfrei gestellt. Die Streichung der Gebührenpflicht dient der Vereinfachung des Verfahrens und der Beseitigung von Wettbewerbsnachteilen von Landwirten in M-V.</w:t>
      </w:r>
    </w:p>
    <w:p w14:paraId="164A965E" w14:textId="46774500" w:rsidR="001B20C2" w:rsidRPr="00D168C3" w:rsidRDefault="001B20C2" w:rsidP="00F6266C">
      <w:pPr>
        <w:spacing w:after="0"/>
        <w:jc w:val="both"/>
        <w:rPr>
          <w:rFonts w:cs="Arial"/>
        </w:rPr>
      </w:pPr>
    </w:p>
    <w:p w14:paraId="361C6F54" w14:textId="77777777" w:rsidR="001B20C2" w:rsidRPr="00D168C3" w:rsidRDefault="001B20C2" w:rsidP="001B20C2">
      <w:pPr>
        <w:pStyle w:val="Listenabsatz"/>
        <w:numPr>
          <w:ilvl w:val="0"/>
          <w:numId w:val="7"/>
        </w:numPr>
        <w:jc w:val="both"/>
        <w:rPr>
          <w:rFonts w:cs="Arial"/>
          <w:b/>
          <w:bCs/>
        </w:rPr>
      </w:pPr>
    </w:p>
    <w:p w14:paraId="77D8D888" w14:textId="15C2EB63" w:rsidR="00F41DAE" w:rsidRPr="00D168C3" w:rsidRDefault="00F41DAE" w:rsidP="00F6266C">
      <w:pPr>
        <w:spacing w:after="0"/>
        <w:jc w:val="both"/>
        <w:rPr>
          <w:rFonts w:cs="Arial"/>
        </w:rPr>
      </w:pPr>
      <w:r w:rsidRPr="00D168C3">
        <w:rPr>
          <w:rFonts w:cs="Arial"/>
        </w:rPr>
        <w:lastRenderedPageBreak/>
        <w:t>Gemäß § 10 PflSchG hat derjenige, der Pflanzenschutzmittel für andere anwenden oder andere über den Pflanzenschutz beraten will, dies der zuständigen Behörde anzuzeigen. Gemäß § 24 PflSchG hat, wer Pflanzenschutzmittel in den Verkehr bringen oder einführen will, dies der zuständigen Behörde vor Aufnahme der Tätigkeit unter Angabe seines Namens, seiner Anschrift und seiner Telekommunikationsdaten anzuzeigen. Die Landesregierungen können nähere Vorschriften über das Anzeigeverfahren erlassen. In der Verordnung des Landes über die Anzeigen nach dem Pflanzenschutzgesetz ist eine formgebundene und gebührenpflichtige Anzeige an das LALLF als zuständige Behörde vorgesehen. Im Zuge der angestrebten Verwaltungsvereinfachung und des Bürokratieabbaus soll von der gegenwärtig notwendigen formgebundenen Anzeige sowie der Erstellung eines Kostenbescheids abgesehen werden, zumal die bisherigen Gebühreneinnahmen sehr gering sind (unter 2.000 Euro p.a.). In anderen Bundesländern erfolgt die Registrierung z.T. kostenfrei oder es werden keinerlei Formvorgaben gemacht.</w:t>
      </w:r>
    </w:p>
    <w:p w14:paraId="4F02477B" w14:textId="59B409CF" w:rsidR="001E6F57" w:rsidRPr="00D168C3" w:rsidRDefault="001E6F57" w:rsidP="00AF188C">
      <w:pPr>
        <w:spacing w:after="0"/>
        <w:jc w:val="both"/>
        <w:rPr>
          <w:rFonts w:cs="Arial"/>
        </w:rPr>
      </w:pPr>
    </w:p>
    <w:p w14:paraId="0F826981" w14:textId="77777777" w:rsidR="00F41DAE" w:rsidRPr="00D168C3" w:rsidRDefault="00F41DAE" w:rsidP="00F41DAE">
      <w:pPr>
        <w:pStyle w:val="Listenabsatz"/>
        <w:numPr>
          <w:ilvl w:val="0"/>
          <w:numId w:val="7"/>
        </w:numPr>
        <w:jc w:val="both"/>
        <w:rPr>
          <w:rFonts w:cs="Arial"/>
          <w:b/>
          <w:bCs/>
        </w:rPr>
      </w:pPr>
    </w:p>
    <w:p w14:paraId="7FC51E2E" w14:textId="591F1D42" w:rsidR="00F41DAE" w:rsidRPr="00D168C3" w:rsidRDefault="00F41DAE" w:rsidP="00AF188C">
      <w:pPr>
        <w:spacing w:after="0"/>
        <w:jc w:val="both"/>
        <w:rPr>
          <w:rFonts w:cs="Arial"/>
        </w:rPr>
      </w:pPr>
      <w:r w:rsidRPr="00D168C3">
        <w:rPr>
          <w:rFonts w:cs="Arial"/>
        </w:rPr>
        <w:t>Die Anerkennung ist bisher auf drei Jahre befristet und wird auf Antrag erneuert. Durch Streichung dieser Vorschrift gilt die Anerkennung unbefristet. Sie kann aber durch die zuständige Behörde widerrufen werden, insbesondere bei Vorliegen der in § 6 der Verordnung genannten Gründe. Der Wegfall der Antragstellung auf Wiederanerkennung im dreijährigen Rhythmus bedeutet sowohl für die Kontrollwerkstätten als auch für die zuständige Behörde eine Entlastung.</w:t>
      </w:r>
    </w:p>
    <w:p w14:paraId="19B2502F" w14:textId="68BAE16E" w:rsidR="00F41DAE" w:rsidRPr="00D168C3" w:rsidRDefault="00F41DAE" w:rsidP="00AF188C">
      <w:pPr>
        <w:spacing w:after="0"/>
        <w:jc w:val="both"/>
        <w:rPr>
          <w:rFonts w:cs="Arial"/>
        </w:rPr>
      </w:pPr>
    </w:p>
    <w:p w14:paraId="64820F07" w14:textId="77777777" w:rsidR="00F41DAE" w:rsidRPr="00D168C3" w:rsidRDefault="00F41DAE" w:rsidP="00F41DAE">
      <w:pPr>
        <w:pStyle w:val="Listenabsatz"/>
        <w:numPr>
          <w:ilvl w:val="0"/>
          <w:numId w:val="7"/>
        </w:numPr>
        <w:jc w:val="both"/>
        <w:rPr>
          <w:rFonts w:cs="Arial"/>
          <w:b/>
          <w:bCs/>
        </w:rPr>
      </w:pPr>
    </w:p>
    <w:p w14:paraId="227960A5" w14:textId="6B33A0C8" w:rsidR="00F41DAE" w:rsidRPr="00D168C3" w:rsidRDefault="00F41DAE" w:rsidP="00F41DAE">
      <w:pPr>
        <w:spacing w:after="0"/>
        <w:jc w:val="both"/>
        <w:rPr>
          <w:rFonts w:cs="Arial"/>
        </w:rPr>
      </w:pPr>
      <w:r w:rsidRPr="00D168C3">
        <w:rPr>
          <w:rFonts w:cs="Arial"/>
        </w:rPr>
        <w:t>Befristungen dienen regelmäßig der Überprüfung neuer oder zeitlich angelegter Regelungskonzepte. Sie sind insbesondere bei Pilot- oder Experimentierregelungen sachgerecht, bei denen zunächst praktische Erfahrungen gesammelt werden sollen. Die vorliegende Verordnung hat sich im Vollzug bewährt. Ihre Regelungen sind dauerhaft angelegt und bedürfen keiner zeitlichen Begrenzung. Ein materieller Überprüfungsbedarf, der eine zwingende Neubefassung im festen Zeitrhythmus erfordern würde, besteht nicht.</w:t>
      </w:r>
    </w:p>
    <w:p w14:paraId="6467284D" w14:textId="2394558E" w:rsidR="00F41DAE" w:rsidRPr="00D168C3" w:rsidRDefault="00F41DAE" w:rsidP="00F41DAE">
      <w:pPr>
        <w:spacing w:after="0"/>
        <w:jc w:val="both"/>
        <w:rPr>
          <w:rFonts w:cs="Arial"/>
        </w:rPr>
      </w:pPr>
      <w:r w:rsidRPr="00D168C3">
        <w:rPr>
          <w:rFonts w:cs="Arial"/>
        </w:rPr>
        <w:t>Eine Befristung führt dazu, dass die Verordnung unabhängig von einem tatsächlichen Änderungsbedarf regelmäßig neu erlassen oder verlängert werden muss. Dies verursacht wiederkehrenden normsetzungsrechtlichen und administrativen Aufwand, ohne dass hiermit ein zusätzlicher inhaltlicher Erkenntnisgewinn verbunden ist. Die Entfristung trägt daher zur Reduzierung unnötiger Verwaltungs- und Normsetzungsprozesse bei und dient der Rechtsklarheit sowie Planungssicherheit. Die Möglichkeit einer jederzeitigen Änderung oder Aufhebung der Verordnung bleibt hiervon unberührt. Ebenso bleiben die parlamentarischen Kontroll- und Informationsrechte bestehen. Die Entfristung ist somit sachgerecht und entspricht dem Ziel der Bürokratieentlastung, ohne die inhaltliche Steuerungsfähigkeit oder die demokratische Kontrolle einzuschränken.</w:t>
      </w:r>
    </w:p>
    <w:p w14:paraId="41D980CF" w14:textId="58066683" w:rsidR="00F41DAE" w:rsidRPr="00D168C3" w:rsidRDefault="00F41DAE" w:rsidP="00AF188C">
      <w:pPr>
        <w:spacing w:after="0"/>
        <w:jc w:val="both"/>
        <w:rPr>
          <w:rFonts w:cs="Arial"/>
        </w:rPr>
      </w:pPr>
    </w:p>
    <w:p w14:paraId="397FE720" w14:textId="77777777" w:rsidR="00F41DAE" w:rsidRPr="00D168C3" w:rsidRDefault="00F41DAE" w:rsidP="00F41DAE">
      <w:pPr>
        <w:pStyle w:val="Listenabsatz"/>
        <w:numPr>
          <w:ilvl w:val="0"/>
          <w:numId w:val="7"/>
        </w:numPr>
        <w:jc w:val="both"/>
        <w:rPr>
          <w:rFonts w:cs="Arial"/>
          <w:b/>
          <w:bCs/>
        </w:rPr>
      </w:pPr>
    </w:p>
    <w:p w14:paraId="0897901A" w14:textId="761A0AA5" w:rsidR="00F41DAE" w:rsidRPr="00D168C3" w:rsidRDefault="00F41DAE" w:rsidP="00AF188C">
      <w:pPr>
        <w:spacing w:after="0"/>
        <w:jc w:val="both"/>
        <w:rPr>
          <w:rFonts w:cs="Arial"/>
        </w:rPr>
      </w:pPr>
      <w:r w:rsidRPr="00D168C3">
        <w:rPr>
          <w:rFonts w:cs="Arial"/>
        </w:rPr>
        <w:t>Siehe Begründung Artikel 42.</w:t>
      </w:r>
    </w:p>
    <w:p w14:paraId="60174A29" w14:textId="7884E839" w:rsidR="00F41DAE" w:rsidRPr="00D168C3" w:rsidRDefault="00F41DAE" w:rsidP="00AF188C">
      <w:pPr>
        <w:spacing w:after="0"/>
        <w:jc w:val="both"/>
        <w:rPr>
          <w:rFonts w:cs="Arial"/>
        </w:rPr>
      </w:pPr>
    </w:p>
    <w:p w14:paraId="7BD929B2" w14:textId="77777777" w:rsidR="00F41DAE" w:rsidRPr="00D168C3" w:rsidRDefault="00F41DAE" w:rsidP="00F41DAE">
      <w:pPr>
        <w:pStyle w:val="Listenabsatz"/>
        <w:numPr>
          <w:ilvl w:val="0"/>
          <w:numId w:val="7"/>
        </w:numPr>
        <w:jc w:val="both"/>
        <w:rPr>
          <w:rFonts w:cs="Arial"/>
          <w:b/>
          <w:bCs/>
        </w:rPr>
      </w:pPr>
    </w:p>
    <w:p w14:paraId="041C6104" w14:textId="77777777" w:rsidR="00F41DAE" w:rsidRPr="00D168C3" w:rsidRDefault="00F41DAE" w:rsidP="00F41DAE">
      <w:pPr>
        <w:spacing w:after="0"/>
        <w:jc w:val="both"/>
        <w:rPr>
          <w:rFonts w:cs="Arial"/>
        </w:rPr>
      </w:pPr>
      <w:r w:rsidRPr="00D168C3">
        <w:rPr>
          <w:rFonts w:cs="Arial"/>
        </w:rPr>
        <w:t>Siehe Begründung Artikel 42.</w:t>
      </w:r>
    </w:p>
    <w:p w14:paraId="1DCDD10A" w14:textId="4FC295D8" w:rsidR="00F41DAE" w:rsidRPr="00D168C3" w:rsidRDefault="00F41DAE" w:rsidP="00AF188C">
      <w:pPr>
        <w:spacing w:after="0"/>
        <w:jc w:val="both"/>
        <w:rPr>
          <w:rFonts w:cs="Arial"/>
        </w:rPr>
      </w:pPr>
    </w:p>
    <w:p w14:paraId="21B5535C" w14:textId="77777777" w:rsidR="00F41DAE" w:rsidRPr="00D168C3" w:rsidRDefault="00F41DAE" w:rsidP="00F41DAE">
      <w:pPr>
        <w:pStyle w:val="Listenabsatz"/>
        <w:numPr>
          <w:ilvl w:val="0"/>
          <w:numId w:val="7"/>
        </w:numPr>
        <w:jc w:val="both"/>
        <w:rPr>
          <w:rFonts w:cs="Arial"/>
          <w:b/>
          <w:bCs/>
        </w:rPr>
      </w:pPr>
    </w:p>
    <w:p w14:paraId="264B6FAD" w14:textId="7A0DDC79" w:rsidR="00F41DAE" w:rsidRPr="00D168C3" w:rsidRDefault="00F41DAE" w:rsidP="00F41DAE">
      <w:pPr>
        <w:spacing w:after="0"/>
        <w:jc w:val="both"/>
        <w:rPr>
          <w:rFonts w:cs="Arial"/>
        </w:rPr>
      </w:pPr>
      <w:r w:rsidRPr="00D168C3">
        <w:rPr>
          <w:rFonts w:cs="Arial"/>
        </w:rPr>
        <w:t>Siehe Begründung Artikel 42.</w:t>
      </w:r>
    </w:p>
    <w:p w14:paraId="00D0047F" w14:textId="47493D66" w:rsidR="00F41DAE" w:rsidRPr="00D168C3" w:rsidRDefault="00F41DAE" w:rsidP="00F41DAE">
      <w:pPr>
        <w:spacing w:after="0"/>
        <w:jc w:val="both"/>
        <w:rPr>
          <w:rFonts w:cs="Arial"/>
        </w:rPr>
      </w:pPr>
    </w:p>
    <w:p w14:paraId="3030FF7E" w14:textId="77777777" w:rsidR="00F41DAE" w:rsidRPr="00D168C3" w:rsidRDefault="00F41DAE" w:rsidP="00F41DAE">
      <w:pPr>
        <w:pStyle w:val="Listenabsatz"/>
        <w:numPr>
          <w:ilvl w:val="0"/>
          <w:numId w:val="7"/>
        </w:numPr>
        <w:jc w:val="both"/>
        <w:rPr>
          <w:rFonts w:cs="Arial"/>
          <w:b/>
          <w:bCs/>
        </w:rPr>
      </w:pPr>
    </w:p>
    <w:p w14:paraId="6B0C6E0A" w14:textId="77777777" w:rsidR="00F41DAE" w:rsidRPr="00D168C3" w:rsidRDefault="00F41DAE" w:rsidP="00F41DAE">
      <w:pPr>
        <w:spacing w:after="0"/>
        <w:jc w:val="both"/>
        <w:rPr>
          <w:rFonts w:cs="Arial"/>
        </w:rPr>
      </w:pPr>
      <w:r w:rsidRPr="00D168C3">
        <w:rPr>
          <w:rFonts w:cs="Arial"/>
        </w:rPr>
        <w:t>Siehe Begründung Artikel 42.</w:t>
      </w:r>
    </w:p>
    <w:p w14:paraId="5FC553E9" w14:textId="2CBA37F7" w:rsidR="00F41DAE" w:rsidRPr="00D168C3" w:rsidRDefault="00F41DAE" w:rsidP="00F41DAE">
      <w:pPr>
        <w:spacing w:after="0"/>
        <w:jc w:val="both"/>
        <w:rPr>
          <w:rFonts w:cs="Arial"/>
        </w:rPr>
      </w:pPr>
    </w:p>
    <w:p w14:paraId="7FF60339" w14:textId="77777777" w:rsidR="00F41DAE" w:rsidRPr="00D168C3" w:rsidRDefault="00F41DAE" w:rsidP="00F41DAE">
      <w:pPr>
        <w:pStyle w:val="Listenabsatz"/>
        <w:numPr>
          <w:ilvl w:val="0"/>
          <w:numId w:val="7"/>
        </w:numPr>
        <w:jc w:val="both"/>
        <w:rPr>
          <w:rFonts w:cs="Arial"/>
          <w:b/>
          <w:bCs/>
        </w:rPr>
      </w:pPr>
    </w:p>
    <w:p w14:paraId="797C7DC9" w14:textId="2F30EA6A" w:rsidR="00F41DAE" w:rsidRPr="00D168C3" w:rsidRDefault="00F41DAE" w:rsidP="00F41DAE">
      <w:pPr>
        <w:spacing w:after="0"/>
        <w:jc w:val="both"/>
        <w:rPr>
          <w:rFonts w:cs="Arial"/>
        </w:rPr>
      </w:pPr>
      <w:r w:rsidRPr="00D168C3">
        <w:rPr>
          <w:rFonts w:cs="Arial"/>
        </w:rPr>
        <w:t>Siehe Begründung Artikel 42.</w:t>
      </w:r>
    </w:p>
    <w:p w14:paraId="029DA566" w14:textId="77777777" w:rsidR="00F41DAE" w:rsidRPr="00D168C3" w:rsidRDefault="00F41DAE" w:rsidP="00F41DAE">
      <w:pPr>
        <w:spacing w:after="0"/>
        <w:jc w:val="both"/>
        <w:rPr>
          <w:rFonts w:cs="Arial"/>
        </w:rPr>
      </w:pPr>
    </w:p>
    <w:p w14:paraId="37F28167" w14:textId="77777777" w:rsidR="00F41DAE" w:rsidRPr="00D168C3" w:rsidRDefault="00F41DAE" w:rsidP="00F41DAE">
      <w:pPr>
        <w:pStyle w:val="Listenabsatz"/>
        <w:numPr>
          <w:ilvl w:val="0"/>
          <w:numId w:val="7"/>
        </w:numPr>
        <w:jc w:val="both"/>
        <w:rPr>
          <w:rFonts w:cs="Arial"/>
          <w:b/>
          <w:bCs/>
        </w:rPr>
      </w:pPr>
    </w:p>
    <w:p w14:paraId="5E52F293" w14:textId="77777777" w:rsidR="00F41DAE" w:rsidRPr="00D168C3" w:rsidRDefault="00F41DAE" w:rsidP="00F41DAE">
      <w:pPr>
        <w:spacing w:after="0"/>
        <w:jc w:val="both"/>
        <w:rPr>
          <w:rFonts w:cs="Arial"/>
        </w:rPr>
      </w:pPr>
      <w:r w:rsidRPr="00D168C3">
        <w:rPr>
          <w:rFonts w:cs="Arial"/>
        </w:rPr>
        <w:t>Siehe Begründung Artikel 42.</w:t>
      </w:r>
    </w:p>
    <w:p w14:paraId="7F01B7D3" w14:textId="77777777" w:rsidR="00F41DAE" w:rsidRPr="00D168C3" w:rsidRDefault="00F41DAE" w:rsidP="00F41DAE">
      <w:pPr>
        <w:spacing w:after="0"/>
        <w:jc w:val="both"/>
        <w:rPr>
          <w:rFonts w:cs="Arial"/>
        </w:rPr>
      </w:pPr>
    </w:p>
    <w:p w14:paraId="4B44BCF4" w14:textId="77777777" w:rsidR="00F41DAE" w:rsidRPr="00D168C3" w:rsidRDefault="00F41DAE" w:rsidP="00F41DAE">
      <w:pPr>
        <w:pStyle w:val="Listenabsatz"/>
        <w:numPr>
          <w:ilvl w:val="0"/>
          <w:numId w:val="7"/>
        </w:numPr>
        <w:jc w:val="both"/>
        <w:rPr>
          <w:rFonts w:cs="Arial"/>
          <w:b/>
          <w:bCs/>
        </w:rPr>
      </w:pPr>
    </w:p>
    <w:p w14:paraId="76FB4C91" w14:textId="7CDD8DB4" w:rsidR="00F41DAE" w:rsidRPr="00D168C3" w:rsidRDefault="00F41DAE" w:rsidP="00AF188C">
      <w:pPr>
        <w:spacing w:after="0"/>
        <w:jc w:val="both"/>
        <w:rPr>
          <w:rFonts w:cs="Arial"/>
        </w:rPr>
      </w:pPr>
      <w:r w:rsidRPr="00D168C3">
        <w:rPr>
          <w:rFonts w:cs="Arial"/>
        </w:rPr>
        <w:t>Siehe Begründung Artikel 42.</w:t>
      </w:r>
    </w:p>
    <w:p w14:paraId="226E0AB0" w14:textId="77777777" w:rsidR="00F41DAE" w:rsidRPr="00D168C3" w:rsidRDefault="00F41DAE" w:rsidP="00AF188C">
      <w:pPr>
        <w:spacing w:after="0"/>
        <w:jc w:val="both"/>
        <w:rPr>
          <w:rFonts w:cs="Arial"/>
        </w:rPr>
      </w:pPr>
    </w:p>
    <w:p w14:paraId="054EBCE8" w14:textId="77777777" w:rsidR="00677195" w:rsidRPr="00D168C3" w:rsidRDefault="00677195" w:rsidP="00AF188C">
      <w:pPr>
        <w:pStyle w:val="Listenabsatz"/>
        <w:numPr>
          <w:ilvl w:val="0"/>
          <w:numId w:val="7"/>
        </w:numPr>
        <w:jc w:val="both"/>
        <w:rPr>
          <w:rFonts w:cs="Arial"/>
          <w:b/>
          <w:bCs/>
        </w:rPr>
      </w:pPr>
    </w:p>
    <w:p w14:paraId="0F7CFFFB" w14:textId="24019BC4" w:rsidR="00D62F40" w:rsidRPr="00D168C3" w:rsidRDefault="00D62F40" w:rsidP="00AF188C">
      <w:pPr>
        <w:spacing w:after="0"/>
        <w:jc w:val="both"/>
        <w:rPr>
          <w:rFonts w:cs="Arial"/>
        </w:rPr>
      </w:pPr>
      <w:r w:rsidRPr="00AD5CCB">
        <w:rPr>
          <w:rFonts w:cs="Arial"/>
        </w:rPr>
        <w:t>Zu Nummer 2:</w:t>
      </w:r>
    </w:p>
    <w:p w14:paraId="0ED2A2E6" w14:textId="77777777" w:rsidR="005F734A" w:rsidRPr="00D168C3" w:rsidRDefault="005F734A" w:rsidP="00AF188C">
      <w:pPr>
        <w:spacing w:after="0"/>
        <w:jc w:val="both"/>
        <w:rPr>
          <w:rFonts w:cs="Arial"/>
        </w:rPr>
      </w:pPr>
      <w:r w:rsidRPr="00D168C3">
        <w:rPr>
          <w:rFonts w:cs="Arial"/>
        </w:rPr>
        <w:t>Die Weitergabe von Beobachtungs- und Entwicklungsdokumentationen aus Kindertageseinrichtungen oder Kindertagespflege an die Grundschule setzt weiterhin eine schriftliche Einwilligung der Erziehungsberechtigten voraus. Eine Ersetzung der Schriftform nach § 3a VwVfG M-V ist ausgeschlossen.</w:t>
      </w:r>
    </w:p>
    <w:p w14:paraId="41C0027C" w14:textId="77777777" w:rsidR="005F734A" w:rsidRPr="00D168C3" w:rsidRDefault="005F734A" w:rsidP="00AF188C">
      <w:pPr>
        <w:spacing w:after="0"/>
        <w:jc w:val="both"/>
        <w:rPr>
          <w:rFonts w:cs="Arial"/>
        </w:rPr>
      </w:pPr>
      <w:r w:rsidRPr="00D168C3">
        <w:rPr>
          <w:rFonts w:cs="Arial"/>
        </w:rPr>
        <w:t>Bei den übermittelten Informationen handelt es sich um besonders sensible personenbezogene Daten von Kindern. Die Beobachtungs- und Dokumentationsunterlagen können Aussagen zur kognitiven, sozialen, sprachlichen und gegebenenfalls gesundheitlichen Entwicklung enthalten. Sie betreffen damit in besonderer Weise das Recht des Kindes und seiner Eltern auf informationelle Selbstbestimmung.</w:t>
      </w:r>
    </w:p>
    <w:p w14:paraId="7E2C19F9" w14:textId="1518F5B4" w:rsidR="005F734A" w:rsidRPr="00D168C3" w:rsidRDefault="005F734A" w:rsidP="00AF188C">
      <w:pPr>
        <w:spacing w:after="0"/>
        <w:jc w:val="both"/>
        <w:rPr>
          <w:rFonts w:cs="Arial"/>
        </w:rPr>
      </w:pPr>
      <w:r w:rsidRPr="00D168C3">
        <w:rPr>
          <w:rFonts w:cs="Arial"/>
        </w:rPr>
        <w:t xml:space="preserve">Zugleich berührt die Datenübermittlung das elterliche Erziehungsrecht aus Art. 6 </w:t>
      </w:r>
      <w:r w:rsidR="001E1039">
        <w:rPr>
          <w:rFonts w:cs="Arial"/>
        </w:rPr>
        <w:t xml:space="preserve">Absatz </w:t>
      </w:r>
      <w:r w:rsidRPr="00D168C3">
        <w:rPr>
          <w:rFonts w:cs="Arial"/>
        </w:rPr>
        <w:t>2 GG. Die Entscheidung über die Weitergabe solcher Daten an die Schule ist von erheblicher Bedeutung für den weiteren Bildungsweg des Kindes. Es ist daher sachgerecht, die Einwilligung in schriftlicher Form zu verlangen, um eine bewusste, informierte und dokumentierte Entscheidung der Erziehungsberechtigten sicherzustellen.</w:t>
      </w:r>
    </w:p>
    <w:p w14:paraId="7CED57DF" w14:textId="77777777" w:rsidR="005F734A" w:rsidRPr="00D168C3" w:rsidRDefault="005F734A" w:rsidP="00AF188C">
      <w:pPr>
        <w:spacing w:after="0"/>
        <w:jc w:val="both"/>
        <w:rPr>
          <w:rFonts w:cs="Arial"/>
        </w:rPr>
      </w:pPr>
      <w:r w:rsidRPr="00D168C3">
        <w:rPr>
          <w:rFonts w:cs="Arial"/>
        </w:rPr>
        <w:t>Die Schriftform dient der Klarheit und Nachweisbarkeit der Einwilligung im Sinne von Art. 7 DSGVO. Sie gewährleistet eine eindeutige Zuordnung der Zustimmung und schafft Rechtssicherheit für alle Beteiligten. Angesichts der Sensibilität der Daten und der Tragweite der Entscheidung ist eine bloße Textform nicht ausreichend.</w:t>
      </w:r>
    </w:p>
    <w:p w14:paraId="3850EDF0" w14:textId="77777777" w:rsidR="005F734A" w:rsidRPr="00D168C3" w:rsidRDefault="005F734A" w:rsidP="00AF188C">
      <w:pPr>
        <w:spacing w:after="0"/>
        <w:jc w:val="both"/>
        <w:rPr>
          <w:rFonts w:cs="Arial"/>
        </w:rPr>
      </w:pPr>
      <w:r w:rsidRPr="00D168C3">
        <w:rPr>
          <w:rFonts w:cs="Arial"/>
        </w:rPr>
        <w:t>Die Beibehaltung der Schriftform trägt somit dem besonderen Schutzbedarf kindlicher Entwicklungsdaten, dem elterlichen Erziehungsrecht sowie den Anforderungen des Datenschutzrechts Rechnung.</w:t>
      </w:r>
    </w:p>
    <w:p w14:paraId="5FA1A809" w14:textId="77777777" w:rsidR="00D62F40" w:rsidRPr="00D168C3" w:rsidRDefault="00D62F40" w:rsidP="00AF188C">
      <w:pPr>
        <w:spacing w:after="0"/>
        <w:jc w:val="both"/>
        <w:rPr>
          <w:rFonts w:cs="Arial"/>
        </w:rPr>
      </w:pPr>
    </w:p>
    <w:p w14:paraId="00CC5C89" w14:textId="257D5F3C" w:rsidR="009C47A7" w:rsidRPr="00AD5CCB" w:rsidRDefault="009C47A7" w:rsidP="00AF188C">
      <w:pPr>
        <w:spacing w:after="0"/>
        <w:jc w:val="both"/>
        <w:rPr>
          <w:rFonts w:cs="Arial"/>
        </w:rPr>
      </w:pPr>
      <w:r w:rsidRPr="00AD5CCB">
        <w:rPr>
          <w:rFonts w:cs="Arial"/>
        </w:rPr>
        <w:t>Zu Nummer 3 Buchstabe a:</w:t>
      </w:r>
    </w:p>
    <w:p w14:paraId="34E1513E" w14:textId="6A62A571" w:rsidR="003607A7" w:rsidRPr="00AD5CCB" w:rsidRDefault="003607A7" w:rsidP="00AF188C">
      <w:pPr>
        <w:spacing w:after="0"/>
        <w:jc w:val="both"/>
        <w:rPr>
          <w:rFonts w:cs="Arial"/>
        </w:rPr>
      </w:pPr>
      <w:bookmarkStart w:id="1" w:name="_Hlk222822854"/>
      <w:r w:rsidRPr="00AD5CCB">
        <w:rPr>
          <w:rFonts w:cs="Arial"/>
        </w:rPr>
        <w:t>Im Einklang mit der Formulierung des § 3a VwVfG M-V wird zur Entlastung der Betroffenen neben der Schriftform auch die elektronische Form ergänzt.</w:t>
      </w:r>
    </w:p>
    <w:bookmarkEnd w:id="1"/>
    <w:p w14:paraId="6571D576" w14:textId="77777777" w:rsidR="003607A7" w:rsidRPr="00AD5CCB" w:rsidRDefault="003607A7" w:rsidP="00AF188C">
      <w:pPr>
        <w:spacing w:after="0"/>
        <w:jc w:val="both"/>
        <w:rPr>
          <w:rFonts w:cs="Arial"/>
        </w:rPr>
      </w:pPr>
    </w:p>
    <w:p w14:paraId="7A037392" w14:textId="0CE4CFAB" w:rsidR="00677195" w:rsidRPr="00D168C3" w:rsidRDefault="00677195" w:rsidP="00AF188C">
      <w:pPr>
        <w:spacing w:after="0"/>
        <w:jc w:val="both"/>
        <w:rPr>
          <w:rFonts w:cs="Arial"/>
        </w:rPr>
      </w:pPr>
      <w:r w:rsidRPr="00AD5CCB">
        <w:rPr>
          <w:rFonts w:cs="Arial"/>
        </w:rPr>
        <w:t xml:space="preserve">Zu Nummer </w:t>
      </w:r>
      <w:r w:rsidR="00D62F40" w:rsidRPr="00AD5CCB">
        <w:rPr>
          <w:rFonts w:cs="Arial"/>
        </w:rPr>
        <w:t>3</w:t>
      </w:r>
      <w:r w:rsidR="009C47A7" w:rsidRPr="00AD5CCB">
        <w:rPr>
          <w:rFonts w:cs="Arial"/>
        </w:rPr>
        <w:t xml:space="preserve"> Buchstabe b</w:t>
      </w:r>
      <w:r w:rsidRPr="00AD5CCB">
        <w:rPr>
          <w:rFonts w:cs="Arial"/>
        </w:rPr>
        <w:t>:</w:t>
      </w:r>
    </w:p>
    <w:p w14:paraId="01D041C6" w14:textId="1551FA68" w:rsidR="003552BC" w:rsidRPr="00D168C3" w:rsidRDefault="003552BC" w:rsidP="00AF188C">
      <w:pPr>
        <w:spacing w:after="0"/>
        <w:jc w:val="both"/>
        <w:rPr>
          <w:rFonts w:cs="Arial"/>
        </w:rPr>
      </w:pPr>
      <w:bookmarkStart w:id="2" w:name="_Hlk222223941"/>
      <w:r w:rsidRPr="00D168C3">
        <w:rPr>
          <w:rFonts w:cs="Arial"/>
        </w:rPr>
        <w:lastRenderedPageBreak/>
        <w:t>Der Antrag betrifft eine besondere Lebenssituation mit hohem zeitlichem und gesundheitlichem Schutzbedürfnis. Die Regelung dient dem Schutz von Mutter und Kind und steht im Zusammenhang mit dem verfassungsrechtlich verankerten Schutz von Ehe und Familie (Art. 6 GG) sowie dem staatlichen Schutzauftrag für Leben und Gesundheit. Das Ruhen der Schulpflicht in dem gesetzlich vorgesehenen Zeitraum knüpft an die Wertungen des Mutterschutzrechts an. Eine verzögerte oder unterbliebene Entscheidung könnte zu rechtlicher Unsicherheit und organisatorischen Belastungen für die Schülerin führen. Der Antrag auf Ruhen der Schulpflicht ist kein komplexes Genehmigungsverfahren. Die Voraussetzungen sind klar und objektiv bestimmbar (Entbindung, zeitlicher Rahmen). Ein weitergehender Abwägungs- oder Ermessensspielraum besteht regelmäßig nicht. Da die gesetzliche Regelung den Zeitraum des Ruhens eindeutig vorgibt, beschränkt sich die behördliche Prüfung im Wesentlichen auf das Vorliegen der tatbestandlichen Voraussetzungen. Eine Genehmigungsfiktion führt daher nicht zu einer sachlich problematischen Entscheidungslage. Ohne Genehmigungsfiktion bestünde das Risiko, dass eine Schülerin trotz Antragstellung formal weiterhin schulpflichtig bleibt, wenn die Behörde nicht rechtzeitig entscheidet. Dies könnte insbesondere in zeitkritischen Konstellationen zu Unsicherheiten führen. Die Einführung der Genehmigungsfiktion trägt damit dem besonderen Schutzbedürfnis schwangerer Schülerinnen und junger Mütter Rechnung, gewährleistet eine zügige und rechtssichere Verfahrensabwicklung und ist angesichts der klar bestimmten gesetzlichen Voraussetzungen unproblematisch. Die Regelung dient der Verwaltungsvereinfachung und der Stärkung der Betroffenenrechte.</w:t>
      </w:r>
    </w:p>
    <w:bookmarkEnd w:id="2"/>
    <w:p w14:paraId="7B56A6C1" w14:textId="77777777" w:rsidR="00235D35" w:rsidRPr="00D168C3" w:rsidRDefault="00235D35" w:rsidP="00AF188C">
      <w:pPr>
        <w:spacing w:after="0"/>
        <w:jc w:val="both"/>
        <w:rPr>
          <w:rFonts w:cs="Arial"/>
        </w:rPr>
      </w:pPr>
    </w:p>
    <w:p w14:paraId="59F8AA7D" w14:textId="5E87EA95" w:rsidR="00856124" w:rsidRPr="00D168C3" w:rsidRDefault="00856124" w:rsidP="00AF188C">
      <w:pPr>
        <w:spacing w:after="0"/>
        <w:jc w:val="both"/>
        <w:rPr>
          <w:rFonts w:cs="Arial"/>
        </w:rPr>
      </w:pPr>
      <w:r w:rsidRPr="00AD5CCB">
        <w:rPr>
          <w:rFonts w:cs="Arial"/>
        </w:rPr>
        <w:t>Zu Nummer 4 bis 6:</w:t>
      </w:r>
    </w:p>
    <w:p w14:paraId="112DB638" w14:textId="77777777" w:rsidR="005F734A" w:rsidRPr="00D168C3" w:rsidRDefault="005F734A" w:rsidP="00AF188C">
      <w:pPr>
        <w:spacing w:after="0"/>
        <w:jc w:val="both"/>
        <w:rPr>
          <w:rFonts w:cs="Arial"/>
        </w:rPr>
      </w:pPr>
      <w:r w:rsidRPr="00D168C3">
        <w:rPr>
          <w:rFonts w:cs="Arial"/>
        </w:rPr>
        <w:t>Die Beibehaltung der Schriftform in den genannten Vorschriften ist sachgerecht und erforderlich. Eine Ersetzung durch die Textform gemäß § 3a VwVfG M-V kommt nicht in Betracht.</w:t>
      </w:r>
    </w:p>
    <w:p w14:paraId="21B4361F" w14:textId="77777777" w:rsidR="005F734A" w:rsidRPr="00D168C3" w:rsidRDefault="005F734A" w:rsidP="00AF188C">
      <w:pPr>
        <w:spacing w:after="0"/>
        <w:jc w:val="both"/>
        <w:rPr>
          <w:rFonts w:cs="Arial"/>
        </w:rPr>
      </w:pPr>
      <w:r w:rsidRPr="00D168C3">
        <w:rPr>
          <w:rFonts w:cs="Arial"/>
        </w:rPr>
        <w:t>Die in § 60 geregelten Maßnahmen bei Erziehungskonflikten und Unterrichtsstörungen sowie die in § 62 vorgesehenen schriftlichen Leistungsrückmeldungen betreffen Entscheidungen und Bewertungen von erheblicher pädagogischer Tragweite. Sie greifen in das schulische Erziehungsverhältnis ein, dokumentieren Verhaltensauffälligkeiten oder Leistungsstände und können mittelbare Auswirkungen auf die weitere schulische Entwicklung des Kindes haben. In Einzelfällen können sie zudem Grundlage weiterer schulrechtlicher Maßnahmen sein.</w:t>
      </w:r>
    </w:p>
    <w:p w14:paraId="198D0A72" w14:textId="77777777" w:rsidR="005F734A" w:rsidRPr="00D168C3" w:rsidRDefault="005F734A" w:rsidP="00AF188C">
      <w:pPr>
        <w:spacing w:after="0"/>
        <w:jc w:val="both"/>
        <w:rPr>
          <w:rFonts w:cs="Arial"/>
        </w:rPr>
      </w:pPr>
      <w:r w:rsidRPr="00D168C3">
        <w:rPr>
          <w:rFonts w:cs="Arial"/>
        </w:rPr>
        <w:t>Die Schriftform gewährleistet eine klare, nachvollziehbare und überprüfbare Dokumentation der getroffenen Maßnahme oder Bewertung. Gerade bei pädagogischen Maßnahmen mit Eingriffscharakter – wie dem schriftlichen Tadel – ist eine eindeutige und dauerhaft dokumentierte Festhaltung erforderlich. Sie dient sowohl der Transparenz gegenüber den Erziehungsberechtigten als auch der Rechtssicherheit für die Schule. Die schriftliche Dokumentation ermöglicht eine spätere Nachvollziehbarkeit der Entscheidungsgrundlagen und stellt sicher, dass der Grundsatz der Verhältnismäßigkeit überprüfbar bleibt.</w:t>
      </w:r>
    </w:p>
    <w:p w14:paraId="52D68052" w14:textId="77777777" w:rsidR="005F734A" w:rsidRPr="00D168C3" w:rsidRDefault="005F734A" w:rsidP="00AF188C">
      <w:pPr>
        <w:spacing w:after="0"/>
        <w:jc w:val="both"/>
        <w:rPr>
          <w:rFonts w:cs="Arial"/>
        </w:rPr>
      </w:pPr>
      <w:r w:rsidRPr="00D168C3">
        <w:rPr>
          <w:rFonts w:cs="Arial"/>
        </w:rPr>
        <w:t>Auch die in § 62 vorgesehene differenzierte schriftliche Einschätzung über Leistungsstand sowie Arbeits- und Sozialverhalten erfüllt eine zentrale Informations- und Orientierungsfunktion im Bildungsprozess. Sie ist Teil der Leistungsbewertung und der individuellen Förderung. Die schriftliche Form gewährleistet Verbindlichkeit, Klarheit und eine verlässliche Dokumentation des Entwicklungsstandes des Kindes. Dies ist insbesondere in der Schuleingangsphase sowie im Förderschwerpunkt geistige Entwicklung von besonderer Bedeutung, da hier auf Ziffernnoten verzichtet wird und die schriftliche Einschätzung die maßgebliche Bewertungsgrundlage darstellt.</w:t>
      </w:r>
    </w:p>
    <w:p w14:paraId="0A059984" w14:textId="662958AD" w:rsidR="005F734A" w:rsidRPr="00D168C3" w:rsidRDefault="005F734A" w:rsidP="00AF188C">
      <w:pPr>
        <w:spacing w:after="0"/>
        <w:jc w:val="both"/>
        <w:rPr>
          <w:rFonts w:cs="Arial"/>
        </w:rPr>
      </w:pPr>
      <w:r w:rsidRPr="00D168C3">
        <w:rPr>
          <w:rFonts w:cs="Arial"/>
        </w:rPr>
        <w:t xml:space="preserve">Darüber hinaus berühren die genannten Maßnahmen und Bewertungen das elterliche Erziehungsrecht aus Art. 6 </w:t>
      </w:r>
      <w:r w:rsidR="001E1039">
        <w:rPr>
          <w:rFonts w:cs="Arial"/>
        </w:rPr>
        <w:t xml:space="preserve">Absatz </w:t>
      </w:r>
      <w:r w:rsidRPr="00D168C3">
        <w:rPr>
          <w:rFonts w:cs="Arial"/>
        </w:rPr>
        <w:t xml:space="preserve">2 GG sowie das Recht des Kindes auf informationelle </w:t>
      </w:r>
      <w:r w:rsidRPr="00D168C3">
        <w:rPr>
          <w:rFonts w:cs="Arial"/>
        </w:rPr>
        <w:lastRenderedPageBreak/>
        <w:t>Selbstbestimmung. Eine schriftliche Fixierung stellt sicher, dass die Information bewusst, nachvollziehbar und überprüfbar erfolgt. Sie dient zugleich der Beweissicherheit bei möglichen späteren Konflikten oder rechtlichen Überprüfungen.</w:t>
      </w:r>
    </w:p>
    <w:p w14:paraId="13DF1A9F" w14:textId="77777777" w:rsidR="005F734A" w:rsidRPr="00D168C3" w:rsidRDefault="005F734A" w:rsidP="00AF188C">
      <w:pPr>
        <w:spacing w:after="0"/>
        <w:jc w:val="both"/>
        <w:rPr>
          <w:rFonts w:cs="Arial"/>
        </w:rPr>
      </w:pPr>
      <w:r w:rsidRPr="00D168C3">
        <w:rPr>
          <w:rFonts w:cs="Arial"/>
        </w:rPr>
        <w:t>Die Schriftform ist daher verhältnismäßig und angemessen. Sie gewährleistet Transparenz, Dokumentationssicherheit und Rechtsschutzklarheit im schulischen Verhältnis. Eine bloße Textform würde diese Funktionen nicht in gleichem Maße erfüllen.</w:t>
      </w:r>
    </w:p>
    <w:p w14:paraId="6E3A03C8" w14:textId="77777777" w:rsidR="00F71F93" w:rsidRPr="00D168C3" w:rsidRDefault="00F71F93" w:rsidP="00AF188C">
      <w:pPr>
        <w:spacing w:after="0"/>
        <w:jc w:val="both"/>
        <w:rPr>
          <w:rFonts w:cs="Arial"/>
        </w:rPr>
      </w:pPr>
    </w:p>
    <w:p w14:paraId="0AE3D319" w14:textId="0DAF54A0" w:rsidR="000E5B95" w:rsidRPr="00D168C3" w:rsidRDefault="000E5B95" w:rsidP="00AF188C">
      <w:pPr>
        <w:spacing w:after="0"/>
        <w:jc w:val="both"/>
        <w:rPr>
          <w:rFonts w:cs="Arial"/>
        </w:rPr>
      </w:pPr>
      <w:r w:rsidRPr="00AD5CCB">
        <w:rPr>
          <w:rFonts w:cs="Arial"/>
        </w:rPr>
        <w:t>Zu Nummer 7:</w:t>
      </w:r>
    </w:p>
    <w:p w14:paraId="05A8D2D8" w14:textId="77777777" w:rsidR="00435BD9" w:rsidRDefault="00435BD9" w:rsidP="00435BD9">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694F12CA" w14:textId="1990BC55" w:rsidR="00856124" w:rsidRPr="00D168C3" w:rsidRDefault="00856124" w:rsidP="00AF188C">
      <w:pPr>
        <w:spacing w:after="0"/>
        <w:jc w:val="both"/>
        <w:rPr>
          <w:rFonts w:cs="Arial"/>
        </w:rPr>
      </w:pPr>
    </w:p>
    <w:p w14:paraId="6095C066" w14:textId="579C752E" w:rsidR="00856124" w:rsidRPr="00D168C3" w:rsidRDefault="00856124" w:rsidP="00AF188C">
      <w:pPr>
        <w:spacing w:after="0"/>
        <w:jc w:val="both"/>
        <w:rPr>
          <w:rFonts w:cs="Arial"/>
        </w:rPr>
      </w:pPr>
      <w:r w:rsidRPr="00AD5CCB">
        <w:rPr>
          <w:rFonts w:cs="Arial"/>
        </w:rPr>
        <w:t xml:space="preserve">Zu Nummer </w:t>
      </w:r>
      <w:r w:rsidR="000451F8" w:rsidRPr="00AD5CCB">
        <w:rPr>
          <w:rFonts w:cs="Arial"/>
        </w:rPr>
        <w:t>8</w:t>
      </w:r>
      <w:r w:rsidRPr="00AD5CCB">
        <w:rPr>
          <w:rFonts w:cs="Arial"/>
        </w:rPr>
        <w:t>:</w:t>
      </w:r>
    </w:p>
    <w:p w14:paraId="6C76183E" w14:textId="67A2D919" w:rsidR="00E81926" w:rsidRPr="00D168C3" w:rsidRDefault="00E81926" w:rsidP="00AF188C">
      <w:pPr>
        <w:spacing w:after="0"/>
        <w:jc w:val="both"/>
        <w:rPr>
          <w:rFonts w:cs="Arial"/>
        </w:rPr>
      </w:pPr>
      <w:r w:rsidRPr="00D168C3">
        <w:rPr>
          <w:rFonts w:cs="Arial"/>
        </w:rPr>
        <w:t>Für Verwaltungsverfahren nach dem Schulgesetz wird klargestellt, dass die Genehmigungsfiktion (§ 42a VwVfG M-V) und die Vollständigkeitsfiktion (§ 42b VwVfG M-V) nur dann eintreten, wenn sie im Schulgesetz ausdrücklich angeordnet sind.</w:t>
      </w:r>
    </w:p>
    <w:p w14:paraId="7F588637" w14:textId="6D6F71BE" w:rsidR="00E81926" w:rsidRPr="00D168C3" w:rsidRDefault="00E81926" w:rsidP="00AF188C">
      <w:pPr>
        <w:spacing w:after="0"/>
        <w:jc w:val="both"/>
        <w:rPr>
          <w:rFonts w:cs="Arial"/>
        </w:rPr>
      </w:pPr>
      <w:r w:rsidRPr="00D168C3">
        <w:rPr>
          <w:rFonts w:cs="Arial"/>
        </w:rPr>
        <w:t>Das Schulgesetz gestaltet das besondere Schulverhältnis aus und konkretisiert den verfassungsrechtlich geschützten Bildungs- und Erziehungsauftrag des Landes. Entscheidungen in seinem Anwendungsbereich betreffen regelmäßig gewichtige Rechtspositionen und wirken vielfach auf mehrere Beteiligte – insbesondere Schülerinnen und Schüler, Erziehungsberechtigte, Lehrkräfte und Schulträger. In diesen Konstellationen bedarf es grundsätzlich einer umfassenden inhaltlichen Prüfung; ein automatischer Eintritt von Fiktionen allein aufgrund Fristablaufs wäre regelmäßig nicht sachgerecht.</w:t>
      </w:r>
    </w:p>
    <w:p w14:paraId="0736542C" w14:textId="0221D988" w:rsidR="00E81926" w:rsidRPr="00D168C3" w:rsidRDefault="00E81926" w:rsidP="00AF188C">
      <w:pPr>
        <w:spacing w:after="0"/>
        <w:jc w:val="both"/>
        <w:rPr>
          <w:rFonts w:cs="Arial"/>
        </w:rPr>
      </w:pPr>
      <w:r w:rsidRPr="00D168C3">
        <w:rPr>
          <w:rFonts w:cs="Arial"/>
        </w:rPr>
        <w:t>Die Vorschrift erhöht die Rechtsklarheit und vermeidet eine Vielzahl einzelner Ausnahmeregelungen im Gesetz. Genehmigungs- und Vollständigkeitsfiktionen bleiben auf diejenigen Tatbestände beschränkt, in denen das Schulgesetz sie ausdrücklich vorsieht. Damit wird ein angemessener Ausgleich zwischen Verfahrensvereinfachung und der Sicherstellung einer ordnungsgemäßen Wahrnehmung des staatlichen Bildungs- und Erziehungsauftrags hergestellt.</w:t>
      </w:r>
    </w:p>
    <w:p w14:paraId="7BDA4D50" w14:textId="77777777" w:rsidR="00235D35" w:rsidRPr="00D168C3" w:rsidRDefault="00235D35" w:rsidP="00AF188C">
      <w:pPr>
        <w:spacing w:after="0"/>
        <w:jc w:val="both"/>
        <w:rPr>
          <w:rFonts w:cs="Arial"/>
        </w:rPr>
      </w:pPr>
    </w:p>
    <w:p w14:paraId="21913114" w14:textId="77777777" w:rsidR="0010068D" w:rsidRPr="00D168C3" w:rsidRDefault="0010068D" w:rsidP="00AF188C">
      <w:pPr>
        <w:pStyle w:val="Listenabsatz"/>
        <w:numPr>
          <w:ilvl w:val="0"/>
          <w:numId w:val="7"/>
        </w:numPr>
        <w:jc w:val="both"/>
        <w:rPr>
          <w:rFonts w:cs="Arial"/>
          <w:b/>
          <w:bCs/>
        </w:rPr>
      </w:pPr>
    </w:p>
    <w:p w14:paraId="1BBE1F7D" w14:textId="013C9787" w:rsidR="008412EC" w:rsidRPr="00D168C3" w:rsidRDefault="008B2F29" w:rsidP="00AF188C">
      <w:pPr>
        <w:jc w:val="both"/>
        <w:rPr>
          <w:rFonts w:cs="Arial"/>
        </w:rPr>
      </w:pPr>
      <w:r w:rsidRPr="00D168C3">
        <w:rPr>
          <w:rFonts w:cs="Arial"/>
        </w:rPr>
        <w:t>Die Feststellung der Gleichwertigkeit von im Ausland erworbenen Berufsqualifikationen erfolgt auf Basis einzelner/individueller Berufsbiografien und Qualifikationen. Hierbei handelt es sich um sehr komplexe Verfahren, die sich schlussendlich auf den Berufszugang auswirken. Eine Genehmigungsfiktion würde ungeachtet der tatsächlich vorliegenden Qualifikationen und Befähigungen zur Zuerkennung von staatlich reglementierten Berufsabschlüssen führen, die den Berufszugang zu sensiblen Bereichen, z.B. im Bereich Schule und Kita, ermöglichen. Auch im Ergebnis erfolgt keinesfalls eine regelmäßige Anerkennung, eher das Gegenteil ist der Fall. Eine Genehmigungsfiktion würde also nicht nur zu Übervorteilungen führen, sondern eine reale Gefahr für die Allgemeinheit darstellen.</w:t>
      </w:r>
    </w:p>
    <w:p w14:paraId="6FB9242F" w14:textId="77777777" w:rsidR="0010068D" w:rsidRPr="00D168C3" w:rsidRDefault="0010068D" w:rsidP="00AF188C">
      <w:pPr>
        <w:pStyle w:val="Listenabsatz"/>
        <w:numPr>
          <w:ilvl w:val="0"/>
          <w:numId w:val="7"/>
        </w:numPr>
        <w:jc w:val="both"/>
        <w:rPr>
          <w:rFonts w:cs="Arial"/>
          <w:b/>
          <w:bCs/>
        </w:rPr>
      </w:pPr>
    </w:p>
    <w:p w14:paraId="7BF9B105" w14:textId="67DBE398" w:rsidR="00C04FB5" w:rsidRPr="00D168C3" w:rsidRDefault="00C04FB5" w:rsidP="00AF188C">
      <w:pPr>
        <w:spacing w:after="0"/>
        <w:jc w:val="both"/>
        <w:rPr>
          <w:rFonts w:cs="Arial"/>
        </w:rPr>
      </w:pPr>
      <w:r w:rsidRPr="00D168C3">
        <w:rPr>
          <w:rFonts w:cs="Arial"/>
        </w:rPr>
        <w:t xml:space="preserve">Die bisherige Verpflichtung zur Vorlage beglaubigter Abschriften von Prüfungszeugnissen im Zusammenhang mit der Aufnahme in den Vorbereitungsdienst sowie bei der Meldung zur Zweiten Staatsprüfung wird aufgehoben. Soweit das Zeugnis über die Erste Staatsprüfung im Land Mecklenburg-Vorpommern erteilt wurde, ist es beim zuständigen Landesprüfungsamt aktenkundig. Echtheit und Inhalt können jederzeit durch behördeninterne Einsichtnahme oder Abgleich überprüft werden. Die Vorlage einer beglaubigten Abschrift ist in diesen Fällen nicht erforderlich; eine einfache Kopie genügt. Entsprechendes gilt für Zeugnisse anderer Länder </w:t>
      </w:r>
      <w:r w:rsidRPr="00D168C3">
        <w:rPr>
          <w:rFonts w:cs="Arial"/>
        </w:rPr>
        <w:lastRenderedPageBreak/>
        <w:t>oder Hochschulabschlüsse, die bereits im Einstellungsverfahren geprüft und in der Personalakte dokumentiert wurden. Eine erneute Vorlage beglaubigter Abschriften im weiteren Verfahrensverlauf führt zu keinem zusätzlichen Erkenntnisgewinn. Bei Bedarf kann auf die bereits vorliegenden Unterlagen zurückgegriffen werden. Die Streichung des Beglaubigungserfordernisses dient dem Abbau entbehrlicher Formalanforderungen und trägt zur Verwaltungsvereinfachung bei. Zugleich bleibt die Möglichkeit einer Überprüfung im Einzelfall unberührt. Die materiellen Zugangsvoraussetzungen und deren Kontrolle werden durch die Änderung nicht berührt.</w:t>
      </w:r>
    </w:p>
    <w:p w14:paraId="7112C47F" w14:textId="77777777" w:rsidR="00C04FB5" w:rsidRPr="00D168C3" w:rsidRDefault="00C04FB5" w:rsidP="00AF188C">
      <w:pPr>
        <w:spacing w:after="0"/>
        <w:jc w:val="both"/>
        <w:rPr>
          <w:rFonts w:cs="Arial"/>
        </w:rPr>
      </w:pPr>
    </w:p>
    <w:p w14:paraId="4A23AE44" w14:textId="77777777" w:rsidR="0010068D" w:rsidRPr="00D168C3" w:rsidRDefault="0010068D" w:rsidP="00AF188C">
      <w:pPr>
        <w:pStyle w:val="Listenabsatz"/>
        <w:numPr>
          <w:ilvl w:val="0"/>
          <w:numId w:val="7"/>
        </w:numPr>
        <w:jc w:val="both"/>
        <w:rPr>
          <w:rFonts w:cs="Arial"/>
          <w:b/>
          <w:bCs/>
        </w:rPr>
      </w:pPr>
    </w:p>
    <w:p w14:paraId="55E14137" w14:textId="02EAF553" w:rsidR="0010068D" w:rsidRPr="00D168C3" w:rsidRDefault="0010068D" w:rsidP="00AF188C">
      <w:pPr>
        <w:spacing w:after="0"/>
        <w:jc w:val="both"/>
        <w:rPr>
          <w:rFonts w:cs="Arial"/>
        </w:rPr>
      </w:pPr>
      <w:r w:rsidRPr="00D168C3">
        <w:rPr>
          <w:rFonts w:cs="Arial"/>
        </w:rPr>
        <w:t>Zu Nummer</w:t>
      </w:r>
      <w:r w:rsidR="007867A1" w:rsidRPr="00D168C3">
        <w:rPr>
          <w:rFonts w:cs="Arial"/>
        </w:rPr>
        <w:t xml:space="preserve"> 1 bis 4:</w:t>
      </w:r>
    </w:p>
    <w:p w14:paraId="2AD2018C" w14:textId="561E6C59" w:rsidR="007867A1" w:rsidRPr="00D168C3" w:rsidRDefault="007867A1" w:rsidP="00AF188C">
      <w:pPr>
        <w:jc w:val="both"/>
        <w:rPr>
          <w:rFonts w:cs="Arial"/>
        </w:rPr>
      </w:pPr>
      <w:r w:rsidRPr="00D168C3">
        <w:rPr>
          <w:rFonts w:cs="Arial"/>
        </w:rPr>
        <w:t>Mit zunehmender Digitalisierung entfallen zunehmend auch Entgelte für Telekommunikationsleistungen, Entgelte für Postzustellungen, Aufwendungen für weitere Ausfertigungen, Abschriften und Auszüge sowie Kosten, die durch öffentliche Bekanntmachungen entstehen. Zusätzlich entstehen derzeit mit der Erhebung von Auslagen Verwaltungsaufwände, die in keinem wirtschaftlichen Verhältnis zu den zu erhebenden Auslagen (Kleinstbeträge) stehen. Die Streichung von gesonderten Auslagentatbeständen, die durch die zunehmende Digitalisierung, bspw. aufgrund der digitalen öffentlichen Bekanntmachung, obsolet werden, kann zu einer Verringerung bürokratischen Aufwandes führen. Die Gebührenhöhen können so ausgestaltet werden, dass die damit einhergehenden Auslagen abgegolten sind.</w:t>
      </w:r>
    </w:p>
    <w:p w14:paraId="32C35AF5" w14:textId="77777777" w:rsidR="000E348B" w:rsidRPr="00D168C3" w:rsidRDefault="000E348B" w:rsidP="00AF188C">
      <w:pPr>
        <w:pStyle w:val="Listenabsatz"/>
        <w:numPr>
          <w:ilvl w:val="0"/>
          <w:numId w:val="7"/>
        </w:numPr>
        <w:jc w:val="both"/>
        <w:rPr>
          <w:rFonts w:cs="Arial"/>
          <w:b/>
          <w:bCs/>
        </w:rPr>
      </w:pPr>
    </w:p>
    <w:p w14:paraId="7513ACC0" w14:textId="559751C4" w:rsidR="00802B47" w:rsidRPr="00D168C3" w:rsidRDefault="00802B47" w:rsidP="00AF188C">
      <w:pPr>
        <w:jc w:val="both"/>
        <w:rPr>
          <w:rFonts w:cs="Arial"/>
        </w:rPr>
      </w:pPr>
      <w:bookmarkStart w:id="3" w:name="_Hlk222405067"/>
      <w:r w:rsidRPr="00D168C3">
        <w:rPr>
          <w:rFonts w:cs="Arial"/>
        </w:rPr>
        <w:t>Klarstellung aufgrund der Regelung in § 3a VwVfG M-V.</w:t>
      </w:r>
      <w:bookmarkEnd w:id="3"/>
    </w:p>
    <w:p w14:paraId="11B2D208" w14:textId="77777777" w:rsidR="000E348B" w:rsidRPr="00D168C3" w:rsidRDefault="000E348B" w:rsidP="00C34818">
      <w:pPr>
        <w:pStyle w:val="Listenabsatz"/>
        <w:numPr>
          <w:ilvl w:val="0"/>
          <w:numId w:val="7"/>
        </w:numPr>
        <w:ind w:left="357" w:hanging="357"/>
        <w:jc w:val="both"/>
        <w:rPr>
          <w:rFonts w:cs="Arial"/>
          <w:b/>
          <w:bCs/>
        </w:rPr>
      </w:pPr>
    </w:p>
    <w:p w14:paraId="4F265095" w14:textId="7848F2DA" w:rsidR="005A2CA4" w:rsidRPr="00D168C3" w:rsidRDefault="00C34818" w:rsidP="00AF188C">
      <w:pPr>
        <w:jc w:val="both"/>
        <w:rPr>
          <w:rFonts w:cs="Arial"/>
        </w:rPr>
      </w:pPr>
      <w:r w:rsidRPr="00C34818">
        <w:rPr>
          <w:rFonts w:cs="Arial"/>
        </w:rPr>
        <w:t>Im Einklang mit der Formulierung des § 3a VwVfG M-V wird zur Entlastung der Betroffenen neben der Schriftform auch die elektronische Form ergänzt.</w:t>
      </w:r>
    </w:p>
    <w:p w14:paraId="3DC044D0" w14:textId="77777777" w:rsidR="000E348B" w:rsidRPr="00D168C3" w:rsidRDefault="000E348B" w:rsidP="00AF188C">
      <w:pPr>
        <w:pStyle w:val="Listenabsatz"/>
        <w:numPr>
          <w:ilvl w:val="0"/>
          <w:numId w:val="7"/>
        </w:numPr>
        <w:jc w:val="both"/>
        <w:rPr>
          <w:rFonts w:cs="Arial"/>
          <w:b/>
          <w:bCs/>
        </w:rPr>
      </w:pPr>
    </w:p>
    <w:p w14:paraId="50D9B568" w14:textId="47919400" w:rsidR="00856816" w:rsidRPr="00D168C3" w:rsidRDefault="00802B47" w:rsidP="00AF188C">
      <w:pPr>
        <w:jc w:val="both"/>
        <w:rPr>
          <w:rFonts w:cs="Arial"/>
        </w:rPr>
      </w:pPr>
      <w:r w:rsidRPr="00D168C3">
        <w:rPr>
          <w:rFonts w:cs="Arial"/>
        </w:rPr>
        <w:t>Klarstellung aufgrund der Regelung in § 3a VwVfG M-V.</w:t>
      </w:r>
    </w:p>
    <w:p w14:paraId="0D80785A" w14:textId="77777777" w:rsidR="00856816" w:rsidRPr="00D168C3" w:rsidRDefault="00856816" w:rsidP="00AF188C">
      <w:pPr>
        <w:pStyle w:val="Listenabsatz"/>
        <w:numPr>
          <w:ilvl w:val="0"/>
          <w:numId w:val="7"/>
        </w:numPr>
        <w:jc w:val="both"/>
        <w:rPr>
          <w:rFonts w:cs="Arial"/>
          <w:b/>
          <w:bCs/>
        </w:rPr>
      </w:pPr>
    </w:p>
    <w:p w14:paraId="6CF885C9" w14:textId="385E36C1" w:rsidR="0045608A" w:rsidRPr="00D168C3" w:rsidRDefault="0045608A" w:rsidP="00AF188C">
      <w:pPr>
        <w:spacing w:after="0"/>
        <w:jc w:val="both"/>
        <w:rPr>
          <w:rFonts w:cs="Arial"/>
        </w:rPr>
      </w:pPr>
      <w:r w:rsidRPr="00D168C3">
        <w:rPr>
          <w:rFonts w:cs="Arial"/>
        </w:rPr>
        <w:t>Zu Nummer 1:</w:t>
      </w:r>
    </w:p>
    <w:p w14:paraId="66D9B714" w14:textId="77777777" w:rsidR="0045608A" w:rsidRPr="00D168C3" w:rsidRDefault="0045608A" w:rsidP="00AF188C">
      <w:pPr>
        <w:jc w:val="both"/>
        <w:rPr>
          <w:rFonts w:cs="Arial"/>
        </w:rPr>
      </w:pPr>
      <w:r w:rsidRPr="00D168C3">
        <w:rPr>
          <w:rFonts w:cs="Arial"/>
        </w:rPr>
        <w:t>Klarstellung aufgrund der Regelung in § 3a VwVfG M-V.</w:t>
      </w:r>
    </w:p>
    <w:p w14:paraId="116766F4" w14:textId="2D005ABF" w:rsidR="0045608A" w:rsidRPr="00D168C3" w:rsidRDefault="0045608A" w:rsidP="00AF188C">
      <w:pPr>
        <w:spacing w:after="0"/>
        <w:jc w:val="both"/>
        <w:rPr>
          <w:rFonts w:cs="Arial"/>
        </w:rPr>
      </w:pPr>
      <w:r w:rsidRPr="00D168C3">
        <w:rPr>
          <w:rFonts w:cs="Arial"/>
        </w:rPr>
        <w:t>Zu Nummer 2 Buchstabe a:</w:t>
      </w:r>
    </w:p>
    <w:p w14:paraId="23663B25" w14:textId="78AA2F6E" w:rsidR="0045608A" w:rsidRPr="00D168C3" w:rsidRDefault="0045608A" w:rsidP="00AF188C">
      <w:pPr>
        <w:jc w:val="both"/>
        <w:rPr>
          <w:rFonts w:cs="Arial"/>
        </w:rPr>
      </w:pPr>
      <w:r w:rsidRPr="00D168C3">
        <w:rPr>
          <w:rFonts w:cs="Arial"/>
        </w:rPr>
        <w:t>Klarstellung aufgrund der Regelung in § 3a VwVfG M-V.</w:t>
      </w:r>
    </w:p>
    <w:p w14:paraId="313542FB" w14:textId="5E6AC687" w:rsidR="00802B47" w:rsidRPr="00D168C3" w:rsidRDefault="00802B47" w:rsidP="00AF188C">
      <w:pPr>
        <w:spacing w:after="0"/>
        <w:jc w:val="both"/>
        <w:rPr>
          <w:rFonts w:cs="Arial"/>
        </w:rPr>
      </w:pPr>
      <w:r w:rsidRPr="00D168C3">
        <w:rPr>
          <w:rFonts w:cs="Arial"/>
        </w:rPr>
        <w:t xml:space="preserve">Zu Nummer 2 Buchstabe </w:t>
      </w:r>
      <w:r w:rsidR="0045608A" w:rsidRPr="00D168C3">
        <w:rPr>
          <w:rFonts w:cs="Arial"/>
        </w:rPr>
        <w:t>b</w:t>
      </w:r>
      <w:r w:rsidRPr="00D168C3">
        <w:rPr>
          <w:rFonts w:cs="Arial"/>
        </w:rPr>
        <w:t>:</w:t>
      </w:r>
    </w:p>
    <w:p w14:paraId="63576B40" w14:textId="71B25D48" w:rsidR="00802B47" w:rsidRPr="00D168C3" w:rsidRDefault="00802B47" w:rsidP="00AD5CCB">
      <w:pPr>
        <w:jc w:val="both"/>
        <w:rPr>
          <w:rFonts w:cs="Arial"/>
        </w:rPr>
      </w:pPr>
      <w:r w:rsidRPr="00D168C3">
        <w:rPr>
          <w:rFonts w:cs="Arial"/>
        </w:rPr>
        <w:t>Die Notwendigkeit des Einreichens eines handschriftlich geschriebenen Lebenslaufes hatte zum Zeitpunkt des Inkrafttretens des Gesetzes verschiedene Gründe, die inzwischen weggefallen sind. Aus diesem Grund und unter Abwägung von Aufwand und Nutzen sowohl für Bürgerinnen und Bürger als auch für die Verwaltung kann auf ein handschriftliches Verfassen des Lebenslaufes künftig verzichtet werden.</w:t>
      </w:r>
    </w:p>
    <w:p w14:paraId="263245F4" w14:textId="58635B28" w:rsidR="0045608A" w:rsidRPr="00D168C3" w:rsidRDefault="0045608A" w:rsidP="00AF188C">
      <w:pPr>
        <w:spacing w:after="0"/>
        <w:jc w:val="both"/>
        <w:rPr>
          <w:rFonts w:cs="Arial"/>
        </w:rPr>
      </w:pPr>
      <w:r w:rsidRPr="00AD5CCB">
        <w:rPr>
          <w:rFonts w:cs="Arial"/>
        </w:rPr>
        <w:t>Zu Nummer 2 Buchstabe c:</w:t>
      </w:r>
    </w:p>
    <w:p w14:paraId="653196C8" w14:textId="0641E1A7" w:rsidR="0045608A" w:rsidRPr="00D168C3" w:rsidRDefault="000B041C" w:rsidP="00AD5CCB">
      <w:pPr>
        <w:jc w:val="both"/>
        <w:rPr>
          <w:rFonts w:cs="Arial"/>
        </w:rPr>
      </w:pPr>
      <w:r w:rsidRPr="00D168C3">
        <w:rPr>
          <w:rFonts w:cs="Arial"/>
        </w:rPr>
        <w:lastRenderedPageBreak/>
        <w:t>Zur Entlastung der Betroffenen ist das Einreichen eines Lichtbildes künftig nicht mehr erforderlich.</w:t>
      </w:r>
    </w:p>
    <w:p w14:paraId="50E84E64" w14:textId="45D47580" w:rsidR="0045608A" w:rsidRPr="00D168C3" w:rsidRDefault="0045608A" w:rsidP="00AF188C">
      <w:pPr>
        <w:spacing w:after="0"/>
        <w:jc w:val="both"/>
        <w:rPr>
          <w:rFonts w:cs="Arial"/>
        </w:rPr>
      </w:pPr>
      <w:r w:rsidRPr="00D168C3">
        <w:rPr>
          <w:rFonts w:cs="Arial"/>
        </w:rPr>
        <w:t>Zu Nummer 3:</w:t>
      </w:r>
    </w:p>
    <w:p w14:paraId="02AC928F" w14:textId="0B37823F" w:rsidR="0045608A" w:rsidRPr="00D168C3" w:rsidRDefault="0045608A" w:rsidP="00AF188C">
      <w:pPr>
        <w:spacing w:after="0"/>
        <w:jc w:val="both"/>
        <w:rPr>
          <w:rFonts w:cs="Arial"/>
        </w:rPr>
      </w:pPr>
      <w:r w:rsidRPr="00D168C3">
        <w:rPr>
          <w:rFonts w:cs="Arial"/>
        </w:rPr>
        <w:t>Das Erfordernis, Unterlagen beglaubigt einzureichen, wurde aus Gründen der Rechtssicherheit eingeführt. Nach Abwägung von Kosten und Nutzen ist es jedoch möglich, künftig bei Unterlagen in deutscher und englischer Sprache auf Beglaubigungen zu verzichten. Damit wird dieser Schritt für einen Großteil der Anträge entfallen. Schriftstücke in anderer als deutscher oder englischer Sprache sollen jedoch weiterhin aus Gründen der Nachprüfbarkeit beglaubigt eingereicht werden.</w:t>
      </w:r>
    </w:p>
    <w:p w14:paraId="55AC18C4" w14:textId="0F4F2E5D" w:rsidR="005E2838" w:rsidRPr="00D168C3" w:rsidRDefault="005E2838" w:rsidP="00AF188C">
      <w:pPr>
        <w:spacing w:after="0"/>
        <w:jc w:val="both"/>
        <w:rPr>
          <w:rFonts w:cs="Arial"/>
        </w:rPr>
      </w:pPr>
    </w:p>
    <w:p w14:paraId="36DA5133" w14:textId="77777777" w:rsidR="00AA4829" w:rsidRPr="00D168C3" w:rsidRDefault="00AA4829" w:rsidP="00AF188C">
      <w:pPr>
        <w:pStyle w:val="Listenabsatz"/>
        <w:numPr>
          <w:ilvl w:val="0"/>
          <w:numId w:val="7"/>
        </w:numPr>
        <w:jc w:val="both"/>
        <w:rPr>
          <w:rFonts w:cs="Arial"/>
          <w:b/>
          <w:bCs/>
        </w:rPr>
      </w:pPr>
    </w:p>
    <w:p w14:paraId="07438C14" w14:textId="3189B789" w:rsidR="007E7501" w:rsidRPr="00D168C3" w:rsidRDefault="008E4BEF" w:rsidP="00AF188C">
      <w:pPr>
        <w:spacing w:after="0"/>
        <w:jc w:val="both"/>
        <w:rPr>
          <w:rFonts w:cs="Arial"/>
        </w:rPr>
      </w:pPr>
      <w:r w:rsidRPr="00D168C3">
        <w:rPr>
          <w:rFonts w:cs="Arial"/>
        </w:rPr>
        <w:t>Zu Nummer 1 bis 5:</w:t>
      </w:r>
    </w:p>
    <w:p w14:paraId="3E5CF132" w14:textId="2AB2DFB8" w:rsidR="00C34818" w:rsidRPr="00D168C3" w:rsidRDefault="00C34818" w:rsidP="00C34818">
      <w:pPr>
        <w:jc w:val="both"/>
        <w:rPr>
          <w:rFonts w:cs="Arial"/>
        </w:rPr>
      </w:pPr>
      <w:r w:rsidRPr="003607A7">
        <w:rPr>
          <w:rFonts w:cs="Arial"/>
        </w:rPr>
        <w:t>Im Einklang mit der Formulierung des § 3a VwVfG M-V wird zur Entlastung der Betroffenen neben der Schriftform auch die elektronische Form ergänzt.</w:t>
      </w:r>
    </w:p>
    <w:p w14:paraId="0B52DA4A" w14:textId="1FEB91DC" w:rsidR="008E4BEF" w:rsidRPr="00D168C3" w:rsidRDefault="008E4BEF" w:rsidP="00AF188C">
      <w:pPr>
        <w:spacing w:after="0"/>
        <w:jc w:val="both"/>
        <w:rPr>
          <w:rFonts w:cs="Arial"/>
        </w:rPr>
      </w:pPr>
      <w:r w:rsidRPr="00C34818">
        <w:rPr>
          <w:rFonts w:cs="Arial"/>
        </w:rPr>
        <w:t>Zu Nummer 6:</w:t>
      </w:r>
    </w:p>
    <w:p w14:paraId="2B4763F0" w14:textId="22F36DEA" w:rsidR="009B3999" w:rsidRPr="00D168C3" w:rsidRDefault="009B3999" w:rsidP="00AF188C">
      <w:pPr>
        <w:spacing w:after="0"/>
        <w:jc w:val="both"/>
        <w:rPr>
          <w:rFonts w:cs="Arial"/>
        </w:rPr>
      </w:pPr>
      <w:r w:rsidRPr="00D168C3">
        <w:rPr>
          <w:rFonts w:cs="Arial"/>
        </w:rPr>
        <w:t>Zur Entlastung der Betroffenen ist das Einreichen beglaubigter Unterlagen künftig nicht mehr erforderlich.</w:t>
      </w:r>
    </w:p>
    <w:p w14:paraId="4591F61F" w14:textId="77777777" w:rsidR="009B3999" w:rsidRPr="00D168C3" w:rsidRDefault="009B3999" w:rsidP="00AF188C">
      <w:pPr>
        <w:spacing w:after="0"/>
        <w:jc w:val="both"/>
        <w:rPr>
          <w:rFonts w:cs="Arial"/>
        </w:rPr>
      </w:pPr>
    </w:p>
    <w:p w14:paraId="27F363CB" w14:textId="77777777" w:rsidR="00AA4829" w:rsidRPr="00D168C3" w:rsidRDefault="00AA4829" w:rsidP="00AF188C">
      <w:pPr>
        <w:pStyle w:val="Listenabsatz"/>
        <w:numPr>
          <w:ilvl w:val="0"/>
          <w:numId w:val="7"/>
        </w:numPr>
        <w:jc w:val="both"/>
        <w:rPr>
          <w:rFonts w:cs="Arial"/>
          <w:b/>
          <w:bCs/>
        </w:rPr>
      </w:pPr>
    </w:p>
    <w:p w14:paraId="2783A68A" w14:textId="624EE8AC" w:rsidR="008D59DA" w:rsidRPr="00D168C3" w:rsidRDefault="008D59DA" w:rsidP="00AF188C">
      <w:pPr>
        <w:spacing w:after="0"/>
        <w:jc w:val="both"/>
        <w:rPr>
          <w:rFonts w:cs="Arial"/>
        </w:rPr>
      </w:pPr>
      <w:r w:rsidRPr="00D168C3">
        <w:rPr>
          <w:rFonts w:cs="Arial"/>
        </w:rPr>
        <w:t>Zu Nummer 1 bis 3 sowie 5:</w:t>
      </w:r>
    </w:p>
    <w:p w14:paraId="6B12B880" w14:textId="77777777" w:rsidR="00C34818" w:rsidRPr="00D168C3" w:rsidRDefault="00C34818" w:rsidP="00C34818">
      <w:pPr>
        <w:jc w:val="both"/>
        <w:rPr>
          <w:rFonts w:cs="Arial"/>
        </w:rPr>
      </w:pPr>
      <w:r w:rsidRPr="003607A7">
        <w:rPr>
          <w:rFonts w:cs="Arial"/>
        </w:rPr>
        <w:t>Im Einklang mit der Formulierung des § 3a VwVfG M-V wird zur Entlastung der Betroffenen neben der Schriftform auch die elektronische Form ergänzt.</w:t>
      </w:r>
    </w:p>
    <w:p w14:paraId="732DAE98" w14:textId="4EA37C79" w:rsidR="008D59DA" w:rsidRPr="00D168C3" w:rsidRDefault="008D59DA" w:rsidP="00AF188C">
      <w:pPr>
        <w:spacing w:after="0"/>
        <w:jc w:val="both"/>
        <w:rPr>
          <w:rFonts w:cs="Arial"/>
        </w:rPr>
      </w:pPr>
      <w:r w:rsidRPr="00D168C3">
        <w:rPr>
          <w:rFonts w:cs="Arial"/>
        </w:rPr>
        <w:t>Zu Nummer 4:</w:t>
      </w:r>
    </w:p>
    <w:p w14:paraId="70EB149B" w14:textId="1DD4E55A" w:rsidR="008D59DA" w:rsidRPr="00D168C3" w:rsidRDefault="00897EF9" w:rsidP="00AF188C">
      <w:pPr>
        <w:jc w:val="both"/>
        <w:rPr>
          <w:rFonts w:cs="Arial"/>
        </w:rPr>
      </w:pPr>
      <w:r w:rsidRPr="00D168C3">
        <w:rPr>
          <w:rFonts w:cs="Arial"/>
        </w:rPr>
        <w:t>Die</w:t>
      </w:r>
      <w:r w:rsidR="008D59DA" w:rsidRPr="00D168C3">
        <w:rPr>
          <w:rFonts w:cs="Arial"/>
        </w:rPr>
        <w:t xml:space="preserve"> Schriftform</w:t>
      </w:r>
      <w:r w:rsidRPr="00D168C3">
        <w:rPr>
          <w:rFonts w:cs="Arial"/>
        </w:rPr>
        <w:t xml:space="preserve"> ist</w:t>
      </w:r>
      <w:r w:rsidR="008D59DA" w:rsidRPr="00D168C3">
        <w:rPr>
          <w:rFonts w:cs="Arial"/>
        </w:rPr>
        <w:t xml:space="preserve"> weiterhin erforderlich, da die Wahl des Prüfungsbereiches endgültig ist und nicht mehr geändert werden kann. Die Entscheidung hat erhebliche Auswirkungen auf den Prüfungsverlauf. Die Schriftform erfüllt hier eine Warn- und Übereilungsschutzfunktion. Die eigenhändige Unterzeichnung zwingt zu einer bewussten, überlegten Entscheidung und verhindert spontane und unbedachte Festlegungen.</w:t>
      </w:r>
    </w:p>
    <w:p w14:paraId="4F05F795" w14:textId="41FB40E6" w:rsidR="009B3999" w:rsidRPr="00D168C3" w:rsidRDefault="009B3999" w:rsidP="00AF188C">
      <w:pPr>
        <w:spacing w:after="0"/>
        <w:jc w:val="both"/>
        <w:rPr>
          <w:rFonts w:cs="Arial"/>
        </w:rPr>
      </w:pPr>
      <w:r w:rsidRPr="00D168C3">
        <w:rPr>
          <w:rFonts w:cs="Arial"/>
        </w:rPr>
        <w:t xml:space="preserve">Zu Nummer 6 Buchstabe a, </w:t>
      </w:r>
      <w:r w:rsidR="00C34818">
        <w:rPr>
          <w:rFonts w:cs="Arial"/>
        </w:rPr>
        <w:t>d</w:t>
      </w:r>
      <w:r w:rsidRPr="00D168C3">
        <w:rPr>
          <w:rFonts w:cs="Arial"/>
        </w:rPr>
        <w:t xml:space="preserve"> und </w:t>
      </w:r>
      <w:r w:rsidR="00C34818">
        <w:rPr>
          <w:rFonts w:cs="Arial"/>
        </w:rPr>
        <w:t>e</w:t>
      </w:r>
      <w:r w:rsidRPr="00D168C3">
        <w:rPr>
          <w:rFonts w:cs="Arial"/>
        </w:rPr>
        <w:t>:</w:t>
      </w:r>
    </w:p>
    <w:p w14:paraId="0CF62A01" w14:textId="77777777" w:rsidR="00C34818" w:rsidRPr="00D168C3" w:rsidRDefault="00C34818" w:rsidP="00C34818">
      <w:pPr>
        <w:jc w:val="both"/>
        <w:rPr>
          <w:rFonts w:cs="Arial"/>
        </w:rPr>
      </w:pPr>
      <w:r w:rsidRPr="003607A7">
        <w:rPr>
          <w:rFonts w:cs="Arial"/>
        </w:rPr>
        <w:t>Im Einklang mit der Formulierung des § 3a VwVfG M-V wird zur Entlastung der Betroffenen neben der Schriftform auch die elektronische Form ergänzt.</w:t>
      </w:r>
    </w:p>
    <w:p w14:paraId="032C7D01" w14:textId="64A60F80" w:rsidR="00BC4402" w:rsidRPr="00D168C3" w:rsidRDefault="00BC4402" w:rsidP="00AF188C">
      <w:pPr>
        <w:spacing w:after="0"/>
        <w:jc w:val="both"/>
        <w:rPr>
          <w:rFonts w:cs="Arial"/>
        </w:rPr>
      </w:pPr>
      <w:r w:rsidRPr="00AD5CCB">
        <w:rPr>
          <w:rFonts w:cs="Arial"/>
        </w:rPr>
        <w:t xml:space="preserve">Zu Nummer </w:t>
      </w:r>
      <w:r w:rsidR="00423550" w:rsidRPr="00AD5CCB">
        <w:rPr>
          <w:rFonts w:cs="Arial"/>
        </w:rPr>
        <w:t>6 Buchstabe b</w:t>
      </w:r>
      <w:r w:rsidR="00C34818" w:rsidRPr="00AD5CCB">
        <w:rPr>
          <w:rFonts w:cs="Arial"/>
        </w:rPr>
        <w:t xml:space="preserve"> und c</w:t>
      </w:r>
      <w:r w:rsidR="00423550" w:rsidRPr="00AD5CCB">
        <w:rPr>
          <w:rFonts w:cs="Arial"/>
        </w:rPr>
        <w:t>:</w:t>
      </w:r>
    </w:p>
    <w:p w14:paraId="6B0FE4C5" w14:textId="19B801B3" w:rsidR="009B3999" w:rsidRPr="00D168C3" w:rsidRDefault="009B3999" w:rsidP="00AF188C">
      <w:pPr>
        <w:spacing w:after="0"/>
        <w:jc w:val="both"/>
        <w:rPr>
          <w:rFonts w:cs="Arial"/>
        </w:rPr>
      </w:pPr>
      <w:r w:rsidRPr="00D168C3">
        <w:rPr>
          <w:rFonts w:cs="Arial"/>
        </w:rPr>
        <w:t>Zur Entlastung der Betroffenen ist das Einreichen beglaubigter Unterlagen künftig nicht mehr erforderlich.</w:t>
      </w:r>
    </w:p>
    <w:p w14:paraId="2F5F755E" w14:textId="77777777" w:rsidR="009B3999" w:rsidRPr="00D168C3" w:rsidRDefault="009B3999" w:rsidP="00AF188C">
      <w:pPr>
        <w:spacing w:after="0"/>
        <w:jc w:val="both"/>
        <w:rPr>
          <w:rFonts w:cs="Arial"/>
        </w:rPr>
      </w:pPr>
    </w:p>
    <w:p w14:paraId="4BD9D6C2" w14:textId="77777777" w:rsidR="00AA4829" w:rsidRPr="00D168C3" w:rsidRDefault="00AA4829" w:rsidP="00AF188C">
      <w:pPr>
        <w:pStyle w:val="Listenabsatz"/>
        <w:numPr>
          <w:ilvl w:val="0"/>
          <w:numId w:val="7"/>
        </w:numPr>
        <w:jc w:val="both"/>
        <w:rPr>
          <w:rFonts w:cs="Arial"/>
          <w:b/>
          <w:bCs/>
        </w:rPr>
      </w:pPr>
    </w:p>
    <w:p w14:paraId="7F10A990" w14:textId="459BF56A" w:rsidR="00AA4829" w:rsidRPr="00D168C3" w:rsidRDefault="00BC4402" w:rsidP="00AF188C">
      <w:pPr>
        <w:spacing w:after="0"/>
        <w:jc w:val="both"/>
        <w:rPr>
          <w:rFonts w:cs="Arial"/>
        </w:rPr>
      </w:pPr>
      <w:r w:rsidRPr="00D168C3">
        <w:rPr>
          <w:rFonts w:cs="Arial"/>
        </w:rPr>
        <w:t>Zu Nummer 1</w:t>
      </w:r>
      <w:r w:rsidR="00AA4829" w:rsidRPr="00D168C3">
        <w:rPr>
          <w:rFonts w:cs="Arial"/>
        </w:rPr>
        <w:t xml:space="preserve"> </w:t>
      </w:r>
      <w:r w:rsidRPr="00D168C3">
        <w:rPr>
          <w:rFonts w:cs="Arial"/>
        </w:rPr>
        <w:t>bis 3:</w:t>
      </w:r>
    </w:p>
    <w:p w14:paraId="0B22B961" w14:textId="197BB69D" w:rsidR="00897EF9" w:rsidRPr="00D168C3" w:rsidRDefault="00C34818" w:rsidP="00AF188C">
      <w:pPr>
        <w:jc w:val="both"/>
        <w:rPr>
          <w:rFonts w:cs="Arial"/>
        </w:rPr>
      </w:pPr>
      <w:r w:rsidRPr="003607A7">
        <w:rPr>
          <w:rFonts w:cs="Arial"/>
        </w:rPr>
        <w:t>Im Einklang mit der Formulierung des § 3a VwVfG M-V wird zur Entlastung der Betroffenen neben der Schriftform auch die elektronische Form ergänzt</w:t>
      </w:r>
      <w:r w:rsidR="00897EF9" w:rsidRPr="00D168C3">
        <w:rPr>
          <w:rFonts w:cs="Arial"/>
        </w:rPr>
        <w:t>.</w:t>
      </w:r>
    </w:p>
    <w:p w14:paraId="3D45F864" w14:textId="77777777" w:rsidR="00AA4829" w:rsidRPr="00D168C3" w:rsidRDefault="00AA4829" w:rsidP="00AF188C">
      <w:pPr>
        <w:pStyle w:val="Listenabsatz"/>
        <w:numPr>
          <w:ilvl w:val="0"/>
          <w:numId w:val="7"/>
        </w:numPr>
        <w:jc w:val="both"/>
        <w:rPr>
          <w:rFonts w:cs="Arial"/>
          <w:b/>
          <w:bCs/>
        </w:rPr>
      </w:pPr>
    </w:p>
    <w:p w14:paraId="2CC57300" w14:textId="1C306C41" w:rsidR="00897EF9" w:rsidRPr="00D168C3" w:rsidRDefault="00897EF9" w:rsidP="00AF188C">
      <w:pPr>
        <w:spacing w:after="0"/>
        <w:jc w:val="both"/>
        <w:rPr>
          <w:rFonts w:cs="Arial"/>
        </w:rPr>
      </w:pPr>
      <w:r w:rsidRPr="00D168C3">
        <w:rPr>
          <w:rFonts w:cs="Arial"/>
        </w:rPr>
        <w:t>Zu Nummer 1 bis 4:</w:t>
      </w:r>
    </w:p>
    <w:p w14:paraId="51D1B647" w14:textId="79E33ED7" w:rsidR="00897EF9" w:rsidRPr="00D168C3" w:rsidRDefault="00C34818" w:rsidP="00AF188C">
      <w:pPr>
        <w:jc w:val="both"/>
        <w:rPr>
          <w:rFonts w:cs="Arial"/>
        </w:rPr>
      </w:pPr>
      <w:r w:rsidRPr="003607A7">
        <w:rPr>
          <w:rFonts w:cs="Arial"/>
        </w:rPr>
        <w:lastRenderedPageBreak/>
        <w:t>Im Einklang mit der Formulierung des § 3a VwVfG M-V wird zur Entlastung der Betroffenen neben der Schriftform auch die elektronische Form ergänzt.</w:t>
      </w:r>
    </w:p>
    <w:p w14:paraId="3EBAE623" w14:textId="56FCA193" w:rsidR="00897EF9" w:rsidRPr="00D168C3" w:rsidRDefault="00897EF9" w:rsidP="00AF188C">
      <w:pPr>
        <w:spacing w:after="0"/>
        <w:jc w:val="both"/>
        <w:rPr>
          <w:rFonts w:cs="Arial"/>
        </w:rPr>
      </w:pPr>
      <w:r w:rsidRPr="00D168C3">
        <w:rPr>
          <w:rFonts w:cs="Arial"/>
        </w:rPr>
        <w:t>Zu Nummer 5:</w:t>
      </w:r>
    </w:p>
    <w:p w14:paraId="34CF6CDA" w14:textId="66D5F50C" w:rsidR="00897EF9" w:rsidRPr="00D168C3" w:rsidRDefault="00897EF9" w:rsidP="00AF188C">
      <w:pPr>
        <w:jc w:val="both"/>
        <w:rPr>
          <w:rFonts w:cs="Arial"/>
        </w:rPr>
      </w:pPr>
      <w:r w:rsidRPr="00D168C3">
        <w:rPr>
          <w:rFonts w:cs="Arial"/>
        </w:rPr>
        <w:t>Die Schriftform ist weiterhin erforderlich, da die Wahl des Prüfungsbereiches endgültig ist und nicht mehr geändert werden kann. Die Entscheidung hat erhebliche Auswirkungen auf den Prüfungsverlauf. Die Schriftform erfüllt hier eine Warn- und Übereilungsschutzfunktion. Die eigenhändige Unterzeichnung zwingt zu einer bewussten, überlegten Entscheidung und verhindert spontane und unbedachte Festlegungen.</w:t>
      </w:r>
    </w:p>
    <w:p w14:paraId="51906399" w14:textId="77777777" w:rsidR="00897EF9" w:rsidRPr="00D168C3" w:rsidRDefault="00897EF9" w:rsidP="00AF188C">
      <w:pPr>
        <w:pStyle w:val="Listenabsatz"/>
        <w:numPr>
          <w:ilvl w:val="0"/>
          <w:numId w:val="7"/>
        </w:numPr>
        <w:jc w:val="both"/>
        <w:rPr>
          <w:rFonts w:cs="Arial"/>
          <w:b/>
          <w:bCs/>
        </w:rPr>
      </w:pPr>
    </w:p>
    <w:p w14:paraId="23676B69" w14:textId="7AD83C3B" w:rsidR="00897EF9" w:rsidRPr="00D168C3" w:rsidRDefault="00897EF9" w:rsidP="00AF188C">
      <w:pPr>
        <w:spacing w:after="0"/>
        <w:jc w:val="both"/>
        <w:rPr>
          <w:rFonts w:cs="Arial"/>
        </w:rPr>
      </w:pPr>
      <w:r w:rsidRPr="00D168C3">
        <w:rPr>
          <w:rFonts w:cs="Arial"/>
        </w:rPr>
        <w:t xml:space="preserve">Zu Nummer 1, 2 </w:t>
      </w:r>
      <w:r w:rsidR="00423550" w:rsidRPr="00D168C3">
        <w:rPr>
          <w:rFonts w:cs="Arial"/>
        </w:rPr>
        <w:t>sowie</w:t>
      </w:r>
      <w:r w:rsidRPr="00D168C3">
        <w:rPr>
          <w:rFonts w:cs="Arial"/>
        </w:rPr>
        <w:t xml:space="preserve"> 4</w:t>
      </w:r>
      <w:r w:rsidR="00423550" w:rsidRPr="00D168C3">
        <w:rPr>
          <w:rFonts w:cs="Arial"/>
        </w:rPr>
        <w:t xml:space="preserve"> Buchstabe b und c</w:t>
      </w:r>
      <w:r w:rsidRPr="00D168C3">
        <w:rPr>
          <w:rFonts w:cs="Arial"/>
        </w:rPr>
        <w:t>:</w:t>
      </w:r>
    </w:p>
    <w:p w14:paraId="0F9924FD" w14:textId="6E55ED21" w:rsidR="00897EF9" w:rsidRDefault="00C34818" w:rsidP="00C34818">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7176F516" w14:textId="77777777" w:rsidR="00C34818" w:rsidRPr="00D168C3" w:rsidRDefault="00C34818" w:rsidP="00C34818">
      <w:pPr>
        <w:spacing w:after="0"/>
        <w:jc w:val="both"/>
        <w:rPr>
          <w:rFonts w:cs="Arial"/>
        </w:rPr>
      </w:pPr>
    </w:p>
    <w:p w14:paraId="2A927528" w14:textId="288E84E5" w:rsidR="00897EF9" w:rsidRPr="00D168C3" w:rsidRDefault="00897EF9" w:rsidP="00AF188C">
      <w:pPr>
        <w:spacing w:after="0"/>
        <w:jc w:val="both"/>
        <w:rPr>
          <w:rFonts w:cs="Arial"/>
        </w:rPr>
      </w:pPr>
      <w:r w:rsidRPr="00D168C3">
        <w:rPr>
          <w:rFonts w:cs="Arial"/>
        </w:rPr>
        <w:t>Zu Nummer 3:</w:t>
      </w:r>
    </w:p>
    <w:p w14:paraId="633A9ED0" w14:textId="548B9613" w:rsidR="00897EF9" w:rsidRPr="00D168C3" w:rsidRDefault="00897EF9" w:rsidP="00AF188C">
      <w:pPr>
        <w:jc w:val="both"/>
        <w:rPr>
          <w:rFonts w:cs="Arial"/>
        </w:rPr>
      </w:pPr>
      <w:r w:rsidRPr="00D168C3">
        <w:rPr>
          <w:rFonts w:cs="Arial"/>
        </w:rPr>
        <w:t>Die Schriftform ist weiterhin erforderlich, da die Wahl des Prüfungsbereiches endgültig ist und nicht mehr geändert werden kann. Die Entscheidung hat erhebliche Auswirkungen auf den Prüfungsverlauf. Die Schriftform erfüllt hier eine Warn- und Übereilungsschutzfunktion. Die eigenhändige Unterzeichnung zwingt zu einer bewussten, überlegten Entscheidung und verhindert spontane und unbedachte Festlegungen.</w:t>
      </w:r>
    </w:p>
    <w:p w14:paraId="0A092D73" w14:textId="6C230CDC" w:rsidR="00423550" w:rsidRPr="00D168C3" w:rsidRDefault="00423550" w:rsidP="00AF188C">
      <w:pPr>
        <w:spacing w:after="0"/>
        <w:jc w:val="both"/>
        <w:rPr>
          <w:rFonts w:cs="Arial"/>
        </w:rPr>
      </w:pPr>
      <w:r w:rsidRPr="00AD5CCB">
        <w:rPr>
          <w:rFonts w:cs="Arial"/>
        </w:rPr>
        <w:t>Zu Nummer 4 Buchstabe a:</w:t>
      </w:r>
    </w:p>
    <w:p w14:paraId="594A70E6" w14:textId="17DA0584" w:rsidR="00862534" w:rsidRPr="00D168C3" w:rsidRDefault="009B3999" w:rsidP="00AF188C">
      <w:pPr>
        <w:spacing w:after="0"/>
        <w:jc w:val="both"/>
        <w:rPr>
          <w:rFonts w:cs="Arial"/>
        </w:rPr>
      </w:pPr>
      <w:r w:rsidRPr="00D168C3">
        <w:rPr>
          <w:rFonts w:cs="Arial"/>
        </w:rPr>
        <w:t>Zur Entlastung der Betroffenen ist das Einreichen beglaubigter Unterlagen künftig nicht mehr erforderlich.</w:t>
      </w:r>
    </w:p>
    <w:p w14:paraId="18CF49BA" w14:textId="77777777" w:rsidR="00FA5A3A" w:rsidRPr="00D168C3" w:rsidRDefault="00FA5A3A" w:rsidP="00AF188C">
      <w:pPr>
        <w:spacing w:after="0"/>
        <w:jc w:val="both"/>
        <w:rPr>
          <w:rFonts w:cs="Arial"/>
          <w:strike/>
        </w:rPr>
      </w:pPr>
    </w:p>
    <w:p w14:paraId="0C0C7895" w14:textId="77777777" w:rsidR="009E2D5E" w:rsidRPr="00D168C3" w:rsidRDefault="009E2D5E" w:rsidP="00AF188C">
      <w:pPr>
        <w:pStyle w:val="Listenabsatz"/>
        <w:numPr>
          <w:ilvl w:val="0"/>
          <w:numId w:val="7"/>
        </w:numPr>
        <w:jc w:val="both"/>
        <w:rPr>
          <w:rFonts w:cs="Arial"/>
          <w:b/>
          <w:bCs/>
        </w:rPr>
      </w:pPr>
    </w:p>
    <w:p w14:paraId="53D75877" w14:textId="22126A41" w:rsidR="009E2D5E" w:rsidRPr="00D168C3" w:rsidRDefault="009E2D5E" w:rsidP="00AF188C">
      <w:pPr>
        <w:spacing w:after="0"/>
        <w:jc w:val="both"/>
        <w:rPr>
          <w:rFonts w:cs="Arial"/>
        </w:rPr>
      </w:pPr>
      <w:r w:rsidRPr="00D168C3">
        <w:rPr>
          <w:rFonts w:cs="Arial"/>
        </w:rPr>
        <w:t>Zu Nummer 1 bis 5:</w:t>
      </w:r>
    </w:p>
    <w:p w14:paraId="0769BC47" w14:textId="51C9421D" w:rsidR="009E2D5E" w:rsidRDefault="00C34818" w:rsidP="00C34818">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30FA2914" w14:textId="77777777" w:rsidR="00C34818" w:rsidRPr="00D168C3" w:rsidRDefault="00C34818" w:rsidP="00C34818">
      <w:pPr>
        <w:spacing w:after="0"/>
        <w:jc w:val="both"/>
        <w:rPr>
          <w:rFonts w:cs="Arial"/>
        </w:rPr>
      </w:pPr>
    </w:p>
    <w:p w14:paraId="757D991E" w14:textId="68825D15" w:rsidR="009E2D5E" w:rsidRPr="00D168C3" w:rsidRDefault="009E2D5E" w:rsidP="00AF188C">
      <w:pPr>
        <w:spacing w:after="0"/>
        <w:jc w:val="both"/>
        <w:rPr>
          <w:rFonts w:cs="Arial"/>
        </w:rPr>
      </w:pPr>
      <w:r w:rsidRPr="00D168C3">
        <w:rPr>
          <w:rFonts w:cs="Arial"/>
        </w:rPr>
        <w:t>Zu Nummer 6:</w:t>
      </w:r>
    </w:p>
    <w:p w14:paraId="615ED1F6" w14:textId="3782F629" w:rsidR="009E2D5E" w:rsidRPr="00D168C3" w:rsidRDefault="009E2D5E" w:rsidP="00AF188C">
      <w:pPr>
        <w:jc w:val="both"/>
        <w:rPr>
          <w:rFonts w:cs="Arial"/>
        </w:rPr>
      </w:pPr>
      <w:r w:rsidRPr="00D168C3">
        <w:rPr>
          <w:rFonts w:cs="Arial"/>
        </w:rPr>
        <w:t>Die Schriftform ist weiterhin erforderlich, da die Wahl des Prüfungsbereiches endgültig ist und nicht mehr geändert werden kann. Die Entscheidung hat erhebliche Auswirkungen auf den Prüfungsverlauf. Die Schriftform erfüllt hier eine Warn- und Übereilungsschutzfunktion. Die eigenhändige Unterzeichnung zwingt zu einer bewussten, überlegten Entscheidung und verhindert spontane und unbedachte Festlegungen.</w:t>
      </w:r>
    </w:p>
    <w:p w14:paraId="362A65BA" w14:textId="4B281DED" w:rsidR="00862534" w:rsidRPr="00D168C3" w:rsidRDefault="00862534" w:rsidP="00AF188C">
      <w:pPr>
        <w:spacing w:after="0"/>
        <w:jc w:val="both"/>
        <w:rPr>
          <w:rFonts w:cs="Arial"/>
        </w:rPr>
      </w:pPr>
      <w:r w:rsidRPr="00D168C3">
        <w:rPr>
          <w:rFonts w:cs="Arial"/>
        </w:rPr>
        <w:t>Zu Nummer 7 Buchstabe a, c und d:</w:t>
      </w:r>
    </w:p>
    <w:p w14:paraId="048A1110" w14:textId="77777777" w:rsidR="00C34818" w:rsidRDefault="00C34818" w:rsidP="00C34818">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1E9E56D4" w14:textId="77777777" w:rsidR="00C34818" w:rsidRDefault="00C34818" w:rsidP="00AF188C">
      <w:pPr>
        <w:spacing w:after="0"/>
        <w:jc w:val="both"/>
        <w:rPr>
          <w:rFonts w:cs="Arial"/>
          <w:highlight w:val="green"/>
        </w:rPr>
      </w:pPr>
    </w:p>
    <w:p w14:paraId="47DD75B1" w14:textId="053A0A00" w:rsidR="00862534" w:rsidRPr="00D168C3" w:rsidRDefault="00862534" w:rsidP="00AF188C">
      <w:pPr>
        <w:spacing w:after="0"/>
        <w:jc w:val="both"/>
        <w:rPr>
          <w:rFonts w:cs="Arial"/>
        </w:rPr>
      </w:pPr>
      <w:r w:rsidRPr="00AD5CCB">
        <w:rPr>
          <w:rFonts w:cs="Arial"/>
        </w:rPr>
        <w:t>Zu Nummer 7 Buchstabe b:</w:t>
      </w:r>
    </w:p>
    <w:p w14:paraId="43D479C9" w14:textId="7E51A1E6" w:rsidR="00862534" w:rsidRPr="00D168C3" w:rsidRDefault="00862534" w:rsidP="00AF188C">
      <w:pPr>
        <w:spacing w:after="0"/>
        <w:jc w:val="both"/>
        <w:rPr>
          <w:rFonts w:cs="Arial"/>
        </w:rPr>
      </w:pPr>
      <w:r w:rsidRPr="00D168C3">
        <w:rPr>
          <w:rFonts w:cs="Arial"/>
        </w:rPr>
        <w:t>Zur Entlastung der Betroffenen ist das Einreichen eines Lichtbildes künftig nicht mehr erforderlich.</w:t>
      </w:r>
    </w:p>
    <w:p w14:paraId="3ECA219E" w14:textId="77777777" w:rsidR="00862534" w:rsidRPr="00D168C3" w:rsidRDefault="00862534" w:rsidP="00AF188C">
      <w:pPr>
        <w:spacing w:after="0"/>
        <w:jc w:val="both"/>
        <w:rPr>
          <w:rFonts w:cs="Arial"/>
        </w:rPr>
      </w:pPr>
    </w:p>
    <w:p w14:paraId="1DC063D2" w14:textId="77777777" w:rsidR="00AA4829" w:rsidRPr="00D168C3" w:rsidRDefault="00AA4829" w:rsidP="00AF188C">
      <w:pPr>
        <w:pStyle w:val="Listenabsatz"/>
        <w:numPr>
          <w:ilvl w:val="0"/>
          <w:numId w:val="7"/>
        </w:numPr>
        <w:jc w:val="both"/>
        <w:rPr>
          <w:rFonts w:cs="Arial"/>
          <w:b/>
          <w:bCs/>
        </w:rPr>
      </w:pPr>
    </w:p>
    <w:p w14:paraId="34CEB388" w14:textId="6B4B08F8" w:rsidR="0025179D" w:rsidRPr="00D168C3" w:rsidRDefault="0025179D" w:rsidP="00AF188C">
      <w:pPr>
        <w:spacing w:after="0"/>
        <w:jc w:val="both"/>
        <w:rPr>
          <w:rFonts w:cs="Arial"/>
        </w:rPr>
      </w:pPr>
      <w:r w:rsidRPr="00D168C3">
        <w:rPr>
          <w:rFonts w:cs="Arial"/>
        </w:rPr>
        <w:t>Zu Nummer 1 bis 4 sowie 7:</w:t>
      </w:r>
    </w:p>
    <w:p w14:paraId="2E092CBB" w14:textId="1B60E1CE" w:rsidR="0025179D" w:rsidRDefault="00F7278B" w:rsidP="00F7278B">
      <w:pPr>
        <w:spacing w:after="0"/>
        <w:jc w:val="both"/>
        <w:rPr>
          <w:rFonts w:cs="Arial"/>
        </w:rPr>
      </w:pPr>
      <w:r w:rsidRPr="003607A7">
        <w:rPr>
          <w:rFonts w:cs="Arial"/>
        </w:rPr>
        <w:lastRenderedPageBreak/>
        <w:t>Im Einklang mit der Formulierung des § 3a VwVfG M-V wird zur Entlastung der Betroffenen neben der Schriftform auch die elektronische Form ergänzt.</w:t>
      </w:r>
    </w:p>
    <w:p w14:paraId="6EC369FC" w14:textId="77777777" w:rsidR="00F7278B" w:rsidRPr="00D168C3" w:rsidRDefault="00F7278B" w:rsidP="00F7278B">
      <w:pPr>
        <w:spacing w:after="0"/>
        <w:jc w:val="both"/>
        <w:rPr>
          <w:rFonts w:cs="Arial"/>
        </w:rPr>
      </w:pPr>
    </w:p>
    <w:p w14:paraId="1646BFC3" w14:textId="26EE7911" w:rsidR="0025179D" w:rsidRPr="00D168C3" w:rsidRDefault="0025179D" w:rsidP="00AF188C">
      <w:pPr>
        <w:tabs>
          <w:tab w:val="left" w:pos="1995"/>
        </w:tabs>
        <w:spacing w:after="0"/>
        <w:jc w:val="both"/>
        <w:rPr>
          <w:rFonts w:cs="Arial"/>
        </w:rPr>
      </w:pPr>
      <w:r w:rsidRPr="00D168C3">
        <w:rPr>
          <w:rFonts w:cs="Arial"/>
        </w:rPr>
        <w:t>Zu Nummer 5:</w:t>
      </w:r>
      <w:r w:rsidRPr="00D168C3">
        <w:rPr>
          <w:rFonts w:cs="Arial"/>
        </w:rPr>
        <w:tab/>
      </w:r>
    </w:p>
    <w:p w14:paraId="47CD381D" w14:textId="533BE37F" w:rsidR="0025179D" w:rsidRPr="00D168C3" w:rsidRDefault="0025179D" w:rsidP="00AF188C">
      <w:pPr>
        <w:jc w:val="both"/>
        <w:rPr>
          <w:rFonts w:cs="Arial"/>
        </w:rPr>
      </w:pPr>
      <w:r w:rsidRPr="00D168C3">
        <w:rPr>
          <w:rFonts w:cs="Arial"/>
        </w:rPr>
        <w:t>Die Schriftform ist weiterhin erforderlich, da die Wahl des Prüfungsbereiches endgültig ist und nicht mehr geändert werden kann. Die Entscheidung hat erhebliche Auswirkungen auf den Prüfungsverlauf. Die Schriftform erfüllt hier eine Warn- und Übereilungsschutzfunktion. Die eigenhändige Unterzeichnung zwingt zu einer bewussten, überlegten Entscheidung und verhindert spontane und unbedachte Festlegungen.</w:t>
      </w:r>
    </w:p>
    <w:p w14:paraId="1D2898ED" w14:textId="63DE131F" w:rsidR="00423550" w:rsidRPr="00D168C3" w:rsidRDefault="00423550" w:rsidP="00AF188C">
      <w:pPr>
        <w:spacing w:after="0"/>
        <w:jc w:val="both"/>
        <w:rPr>
          <w:rFonts w:cs="Arial"/>
        </w:rPr>
      </w:pPr>
      <w:r w:rsidRPr="00D168C3">
        <w:rPr>
          <w:rFonts w:cs="Arial"/>
        </w:rPr>
        <w:t>Zu Nummer 6 Buchstabe a und c:</w:t>
      </w:r>
    </w:p>
    <w:p w14:paraId="08F6C511" w14:textId="3D18E7D0" w:rsidR="00423550" w:rsidRDefault="00F7278B" w:rsidP="00F7278B">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7F81E6F5" w14:textId="77777777" w:rsidR="00F7278B" w:rsidRPr="00D168C3" w:rsidRDefault="00F7278B" w:rsidP="00F7278B">
      <w:pPr>
        <w:spacing w:after="0"/>
        <w:jc w:val="both"/>
        <w:rPr>
          <w:rFonts w:cs="Arial"/>
        </w:rPr>
      </w:pPr>
    </w:p>
    <w:p w14:paraId="3B936617" w14:textId="397F82AE" w:rsidR="00693BF1" w:rsidRPr="00AD5CCB" w:rsidRDefault="00423550" w:rsidP="00AF188C">
      <w:pPr>
        <w:spacing w:after="0"/>
        <w:jc w:val="both"/>
        <w:rPr>
          <w:rFonts w:cs="Arial"/>
        </w:rPr>
      </w:pPr>
      <w:r w:rsidRPr="00AD5CCB">
        <w:rPr>
          <w:rFonts w:cs="Arial"/>
        </w:rPr>
        <w:t>Zu Nummer 6 Buchstabe b:</w:t>
      </w:r>
    </w:p>
    <w:p w14:paraId="3F023214" w14:textId="6A0CD780" w:rsidR="000B041C" w:rsidRPr="00AD5CCB" w:rsidRDefault="00963C51" w:rsidP="00AF188C">
      <w:pPr>
        <w:spacing w:after="0"/>
        <w:jc w:val="both"/>
        <w:rPr>
          <w:rFonts w:cs="Arial"/>
        </w:rPr>
      </w:pPr>
      <w:r w:rsidRPr="00AD5CCB">
        <w:rPr>
          <w:rFonts w:cs="Arial"/>
        </w:rPr>
        <w:t>Die Zur Entlastung der Betroffenen ist das Einreichen eines Lichtbildes künftig nicht mehr erforderlich.</w:t>
      </w:r>
    </w:p>
    <w:p w14:paraId="379E73DA" w14:textId="77777777" w:rsidR="00963C51" w:rsidRPr="00AD5CCB" w:rsidRDefault="00963C51" w:rsidP="00AF188C">
      <w:pPr>
        <w:spacing w:after="0"/>
        <w:jc w:val="both"/>
        <w:rPr>
          <w:rFonts w:cs="Arial"/>
        </w:rPr>
      </w:pPr>
    </w:p>
    <w:p w14:paraId="4F069979" w14:textId="77777777" w:rsidR="00AA4829" w:rsidRPr="00AD5CCB" w:rsidRDefault="00AA4829" w:rsidP="00AF188C">
      <w:pPr>
        <w:pStyle w:val="Listenabsatz"/>
        <w:numPr>
          <w:ilvl w:val="0"/>
          <w:numId w:val="7"/>
        </w:numPr>
        <w:jc w:val="both"/>
        <w:rPr>
          <w:rFonts w:cs="Arial"/>
          <w:b/>
          <w:bCs/>
        </w:rPr>
      </w:pPr>
    </w:p>
    <w:p w14:paraId="3FA7DC5F" w14:textId="7F8636F6" w:rsidR="003F1D1D" w:rsidRPr="00AD5CCB" w:rsidRDefault="003F1D1D" w:rsidP="00AF188C">
      <w:pPr>
        <w:spacing w:after="0"/>
        <w:jc w:val="both"/>
        <w:rPr>
          <w:rFonts w:cs="Arial"/>
        </w:rPr>
      </w:pPr>
      <w:r w:rsidRPr="00AD5CCB">
        <w:rPr>
          <w:rFonts w:cs="Arial"/>
        </w:rPr>
        <w:t>Zu Nummer 1 Buchstabe a</w:t>
      </w:r>
      <w:r w:rsidR="00847AB7" w:rsidRPr="00AD5CCB">
        <w:rPr>
          <w:rFonts w:cs="Arial"/>
        </w:rPr>
        <w:t xml:space="preserve"> und c</w:t>
      </w:r>
      <w:r w:rsidRPr="00AD5CCB">
        <w:rPr>
          <w:rFonts w:cs="Arial"/>
        </w:rPr>
        <w:t>:</w:t>
      </w:r>
    </w:p>
    <w:p w14:paraId="7B4ECAB7" w14:textId="52B18FEC" w:rsidR="003F1D1D" w:rsidRPr="00D168C3" w:rsidRDefault="003F1D1D" w:rsidP="00AF188C">
      <w:pPr>
        <w:spacing w:after="0"/>
        <w:jc w:val="both"/>
        <w:rPr>
          <w:rFonts w:cs="Arial"/>
        </w:rPr>
      </w:pPr>
      <w:r w:rsidRPr="00AD5CCB">
        <w:rPr>
          <w:rFonts w:cs="Arial"/>
        </w:rPr>
        <w:t>Zur Entlastung der Betroffenen ist das Einreichen beglaubigter Unterlagen</w:t>
      </w:r>
      <w:r w:rsidR="00847AB7" w:rsidRPr="00AD5CCB">
        <w:rPr>
          <w:rFonts w:cs="Arial"/>
        </w:rPr>
        <w:t>, ohne begründete</w:t>
      </w:r>
      <w:r w:rsidR="00847AB7">
        <w:rPr>
          <w:rFonts w:cs="Arial"/>
        </w:rPr>
        <w:t xml:space="preserve"> Anhaltspunkte,</w:t>
      </w:r>
      <w:r w:rsidRPr="00D168C3">
        <w:rPr>
          <w:rFonts w:cs="Arial"/>
        </w:rPr>
        <w:t xml:space="preserve"> künftig nicht mehr erforderlich.</w:t>
      </w:r>
      <w:r w:rsidR="00847AB7">
        <w:rPr>
          <w:rFonts w:cs="Arial"/>
        </w:rPr>
        <w:t xml:space="preserve"> </w:t>
      </w:r>
    </w:p>
    <w:p w14:paraId="6785C6A2" w14:textId="77777777" w:rsidR="003F1D1D" w:rsidRPr="00D168C3" w:rsidRDefault="003F1D1D" w:rsidP="00AF188C">
      <w:pPr>
        <w:spacing w:after="0"/>
        <w:jc w:val="both"/>
        <w:rPr>
          <w:rFonts w:cs="Arial"/>
        </w:rPr>
      </w:pPr>
    </w:p>
    <w:p w14:paraId="6CDFB487" w14:textId="539E4F34" w:rsidR="003F1D1D" w:rsidRPr="00D168C3" w:rsidRDefault="003F1D1D" w:rsidP="003F1D1D">
      <w:pPr>
        <w:spacing w:after="0"/>
        <w:jc w:val="both"/>
        <w:rPr>
          <w:rFonts w:cs="Arial"/>
        </w:rPr>
      </w:pPr>
      <w:r w:rsidRPr="00D168C3">
        <w:rPr>
          <w:rFonts w:cs="Arial"/>
        </w:rPr>
        <w:t>Zu Nummer 1 Buchstabe b:</w:t>
      </w:r>
    </w:p>
    <w:p w14:paraId="108B7E51" w14:textId="62167879" w:rsidR="003F1D1D" w:rsidRDefault="00F7278B" w:rsidP="003F1D1D">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036460D2" w14:textId="77777777" w:rsidR="003F1D1D" w:rsidRPr="00D168C3" w:rsidRDefault="003F1D1D" w:rsidP="00AF188C">
      <w:pPr>
        <w:spacing w:after="0"/>
        <w:jc w:val="both"/>
        <w:rPr>
          <w:rFonts w:cs="Arial"/>
        </w:rPr>
      </w:pPr>
    </w:p>
    <w:p w14:paraId="0BB1243D" w14:textId="021D7897" w:rsidR="003F1D1D" w:rsidRPr="00D168C3" w:rsidRDefault="00693BF1" w:rsidP="00AF188C">
      <w:pPr>
        <w:spacing w:after="0"/>
        <w:jc w:val="both"/>
        <w:rPr>
          <w:rFonts w:cs="Arial"/>
        </w:rPr>
      </w:pPr>
      <w:r w:rsidRPr="00D168C3">
        <w:rPr>
          <w:rFonts w:cs="Arial"/>
        </w:rPr>
        <w:t xml:space="preserve">Zu Nummer </w:t>
      </w:r>
      <w:r w:rsidR="003F1D1D" w:rsidRPr="00D168C3">
        <w:rPr>
          <w:rFonts w:cs="Arial"/>
        </w:rPr>
        <w:t>2</w:t>
      </w:r>
      <w:r w:rsidRPr="00D168C3">
        <w:rPr>
          <w:rFonts w:cs="Arial"/>
        </w:rPr>
        <w:t xml:space="preserve"> bis 5 sowie 8:</w:t>
      </w:r>
    </w:p>
    <w:p w14:paraId="1AF2A0B2" w14:textId="57EBE7D6" w:rsidR="00693BF1" w:rsidRDefault="00593CF5" w:rsidP="00593CF5">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1029E977" w14:textId="77777777" w:rsidR="00593CF5" w:rsidRPr="00D168C3" w:rsidRDefault="00593CF5" w:rsidP="00593CF5">
      <w:pPr>
        <w:spacing w:after="0"/>
        <w:jc w:val="both"/>
        <w:rPr>
          <w:rFonts w:cs="Arial"/>
        </w:rPr>
      </w:pPr>
    </w:p>
    <w:p w14:paraId="1BC2CB60" w14:textId="2F40CE50" w:rsidR="00693BF1" w:rsidRPr="00D168C3" w:rsidRDefault="00693BF1" w:rsidP="00AF188C">
      <w:pPr>
        <w:spacing w:after="0"/>
        <w:jc w:val="both"/>
        <w:rPr>
          <w:rFonts w:cs="Arial"/>
        </w:rPr>
      </w:pPr>
      <w:r w:rsidRPr="00D168C3">
        <w:rPr>
          <w:rFonts w:cs="Arial"/>
        </w:rPr>
        <w:t>Zu Nummer 6:</w:t>
      </w:r>
    </w:p>
    <w:p w14:paraId="6437B00C" w14:textId="1BCC60AE" w:rsidR="00693BF1" w:rsidRPr="00D168C3" w:rsidRDefault="00693BF1" w:rsidP="00AF188C">
      <w:pPr>
        <w:spacing w:after="0"/>
        <w:jc w:val="both"/>
        <w:rPr>
          <w:rFonts w:cs="Arial"/>
        </w:rPr>
      </w:pPr>
      <w:r w:rsidRPr="00D168C3">
        <w:rPr>
          <w:rFonts w:cs="Arial"/>
        </w:rPr>
        <w:t>Die Schriftform ist weiterhin erforderlich, da die Wahl des Prüfungsbereiches endgültig ist und nicht mehr geändert werden kann. Die Entscheidung hat erhebliche Auswirkungen auf den Prüfungsverlauf. Die Schriftform erfüllt hier eine Warn- und Übereilungsschutzfunktion. Die eigenhändige Unterzeichnung zwingt zu einer bewussten, überlegten Entscheidung und verhindert spontane und unbedachte Festlegungen.</w:t>
      </w:r>
    </w:p>
    <w:p w14:paraId="0AA5ACAF" w14:textId="77777777" w:rsidR="00693BF1" w:rsidRPr="00D168C3" w:rsidRDefault="00693BF1" w:rsidP="00AF188C">
      <w:pPr>
        <w:spacing w:after="0"/>
        <w:jc w:val="both"/>
        <w:rPr>
          <w:rFonts w:cs="Arial"/>
        </w:rPr>
      </w:pPr>
    </w:p>
    <w:p w14:paraId="2BF0A93A" w14:textId="28BA3797" w:rsidR="00693BF1" w:rsidRPr="00D168C3" w:rsidRDefault="003C2FFB" w:rsidP="00AF188C">
      <w:pPr>
        <w:spacing w:after="0"/>
        <w:jc w:val="both"/>
        <w:rPr>
          <w:rFonts w:cs="Arial"/>
        </w:rPr>
      </w:pPr>
      <w:r w:rsidRPr="00D168C3">
        <w:rPr>
          <w:rFonts w:cs="Arial"/>
        </w:rPr>
        <w:t>Zu Nummer 7 Buchstabe a und c:</w:t>
      </w:r>
    </w:p>
    <w:p w14:paraId="0AF35747" w14:textId="47062FF9" w:rsidR="003C2FFB" w:rsidRPr="00D168C3" w:rsidRDefault="00F7278B" w:rsidP="00AF188C">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439F6812" w14:textId="77777777" w:rsidR="003C2FFB" w:rsidRPr="00D168C3" w:rsidRDefault="003C2FFB" w:rsidP="00AF188C">
      <w:pPr>
        <w:spacing w:after="0"/>
        <w:jc w:val="both"/>
        <w:rPr>
          <w:rFonts w:cs="Arial"/>
        </w:rPr>
      </w:pPr>
    </w:p>
    <w:p w14:paraId="7F1BFC12" w14:textId="2C703393" w:rsidR="003C2FFB" w:rsidRPr="00D168C3" w:rsidRDefault="003C2FFB" w:rsidP="00AF188C">
      <w:pPr>
        <w:spacing w:after="0"/>
        <w:jc w:val="both"/>
        <w:rPr>
          <w:rFonts w:cs="Arial"/>
        </w:rPr>
      </w:pPr>
      <w:r w:rsidRPr="00AD5CCB">
        <w:rPr>
          <w:rFonts w:cs="Arial"/>
        </w:rPr>
        <w:t>Zu Nummer 7 Buchstabe b:</w:t>
      </w:r>
    </w:p>
    <w:p w14:paraId="2047AB0D" w14:textId="09B4485B" w:rsidR="00963C51" w:rsidRPr="00D168C3" w:rsidRDefault="00963C51" w:rsidP="00AF188C">
      <w:pPr>
        <w:spacing w:after="0"/>
        <w:jc w:val="both"/>
        <w:rPr>
          <w:rFonts w:cs="Arial"/>
        </w:rPr>
      </w:pPr>
      <w:r w:rsidRPr="00D168C3">
        <w:rPr>
          <w:rFonts w:cs="Arial"/>
        </w:rPr>
        <w:t>Zur Entlastung der Betroffenen ist das Einreichen eines Lichtbildes künftig nicht mehr erforderlich.</w:t>
      </w:r>
    </w:p>
    <w:p w14:paraId="092D14D8" w14:textId="7879E677" w:rsidR="00693BF1" w:rsidRPr="00D168C3" w:rsidRDefault="00693BF1" w:rsidP="00AF188C">
      <w:pPr>
        <w:spacing w:after="0"/>
        <w:jc w:val="both"/>
        <w:rPr>
          <w:rFonts w:cs="Arial"/>
        </w:rPr>
      </w:pPr>
    </w:p>
    <w:p w14:paraId="18D7B4F4" w14:textId="77777777" w:rsidR="00693BF1" w:rsidRPr="00D168C3" w:rsidRDefault="00693BF1" w:rsidP="00AF188C">
      <w:pPr>
        <w:pStyle w:val="Listenabsatz"/>
        <w:numPr>
          <w:ilvl w:val="0"/>
          <w:numId w:val="7"/>
        </w:numPr>
        <w:jc w:val="both"/>
        <w:rPr>
          <w:rFonts w:cs="Arial"/>
          <w:b/>
          <w:bCs/>
        </w:rPr>
      </w:pPr>
    </w:p>
    <w:p w14:paraId="1F1FCE1D" w14:textId="77777777" w:rsidR="003C2FFB" w:rsidRPr="00D168C3" w:rsidRDefault="003C2FFB" w:rsidP="00AF188C">
      <w:pPr>
        <w:spacing w:after="0"/>
        <w:jc w:val="both"/>
        <w:rPr>
          <w:rFonts w:cs="Arial"/>
        </w:rPr>
      </w:pPr>
      <w:r w:rsidRPr="00D168C3">
        <w:rPr>
          <w:rFonts w:cs="Arial"/>
        </w:rPr>
        <w:t>Zu Nummer 1 bis 3 sowie 5:</w:t>
      </w:r>
    </w:p>
    <w:p w14:paraId="38E51FF3" w14:textId="629B11A5" w:rsidR="00693BF1" w:rsidRDefault="00F7278B" w:rsidP="00F7278B">
      <w:pPr>
        <w:spacing w:after="0"/>
        <w:jc w:val="both"/>
        <w:rPr>
          <w:rFonts w:cs="Arial"/>
        </w:rPr>
      </w:pPr>
      <w:r w:rsidRPr="003607A7">
        <w:rPr>
          <w:rFonts w:cs="Arial"/>
        </w:rPr>
        <w:lastRenderedPageBreak/>
        <w:t>Im Einklang mit der Formulierung des § 3a VwVfG M-V wird zur Entlastung der Betroffenen neben der Schriftform auch die elektronische Form ergänzt.</w:t>
      </w:r>
    </w:p>
    <w:p w14:paraId="7200D35C" w14:textId="77777777" w:rsidR="00F7278B" w:rsidRPr="00D168C3" w:rsidRDefault="00F7278B" w:rsidP="00F7278B">
      <w:pPr>
        <w:spacing w:after="0"/>
        <w:jc w:val="both"/>
        <w:rPr>
          <w:rFonts w:cs="Arial"/>
        </w:rPr>
      </w:pPr>
    </w:p>
    <w:p w14:paraId="3B1838A7" w14:textId="3B5A73B5" w:rsidR="00693BF1" w:rsidRPr="00D168C3" w:rsidRDefault="00693BF1" w:rsidP="00AF188C">
      <w:pPr>
        <w:spacing w:after="0"/>
        <w:jc w:val="both"/>
        <w:rPr>
          <w:rFonts w:cs="Arial"/>
        </w:rPr>
      </w:pPr>
      <w:r w:rsidRPr="00D168C3">
        <w:rPr>
          <w:rFonts w:cs="Arial"/>
        </w:rPr>
        <w:t xml:space="preserve">Zu Nummer </w:t>
      </w:r>
      <w:r w:rsidR="003C2FFB" w:rsidRPr="00D168C3">
        <w:rPr>
          <w:rFonts w:cs="Arial"/>
        </w:rPr>
        <w:t>4 Buchstabe a und c:</w:t>
      </w:r>
    </w:p>
    <w:p w14:paraId="1815B6DB" w14:textId="1E216EFD" w:rsidR="003C2FFB" w:rsidRDefault="00F7278B" w:rsidP="00F7278B">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03AB95CA" w14:textId="77777777" w:rsidR="00F7278B" w:rsidRPr="00D168C3" w:rsidRDefault="00F7278B" w:rsidP="00F7278B">
      <w:pPr>
        <w:spacing w:after="0"/>
        <w:jc w:val="both"/>
        <w:rPr>
          <w:rFonts w:cs="Arial"/>
        </w:rPr>
      </w:pPr>
    </w:p>
    <w:p w14:paraId="3F8DD61C" w14:textId="200B4276" w:rsidR="003C2FFB" w:rsidRPr="00AD5CCB" w:rsidRDefault="003C2FFB" w:rsidP="00AF188C">
      <w:pPr>
        <w:spacing w:after="0"/>
        <w:jc w:val="both"/>
        <w:rPr>
          <w:rFonts w:cs="Arial"/>
        </w:rPr>
      </w:pPr>
      <w:r w:rsidRPr="00AD5CCB">
        <w:rPr>
          <w:rFonts w:cs="Arial"/>
        </w:rPr>
        <w:t>Zu Nummer 4 Buchstabe b:</w:t>
      </w:r>
    </w:p>
    <w:p w14:paraId="6B01682E" w14:textId="64489263" w:rsidR="00963C51" w:rsidRPr="00AD5CCB" w:rsidRDefault="00963C51" w:rsidP="00AF188C">
      <w:pPr>
        <w:spacing w:after="0"/>
        <w:jc w:val="both"/>
        <w:rPr>
          <w:rFonts w:cs="Arial"/>
        </w:rPr>
      </w:pPr>
      <w:r w:rsidRPr="00AD5CCB">
        <w:rPr>
          <w:rFonts w:cs="Arial"/>
        </w:rPr>
        <w:t>Zur Entlastung der Betroffenen ist das Einreichen eines Lichtbildes künftig nicht mehr erforderlich.</w:t>
      </w:r>
    </w:p>
    <w:p w14:paraId="083060B2" w14:textId="77777777" w:rsidR="00963C51" w:rsidRPr="00AD5CCB" w:rsidRDefault="00963C51" w:rsidP="00AF188C">
      <w:pPr>
        <w:spacing w:after="0"/>
        <w:jc w:val="both"/>
        <w:rPr>
          <w:rFonts w:cs="Arial"/>
        </w:rPr>
      </w:pPr>
    </w:p>
    <w:p w14:paraId="4C048FC2" w14:textId="77777777" w:rsidR="003C2FFB" w:rsidRPr="00AD5CCB" w:rsidRDefault="003C2FFB" w:rsidP="00AF188C">
      <w:pPr>
        <w:pStyle w:val="Listenabsatz"/>
        <w:numPr>
          <w:ilvl w:val="0"/>
          <w:numId w:val="7"/>
        </w:numPr>
        <w:jc w:val="both"/>
        <w:rPr>
          <w:rFonts w:cs="Arial"/>
          <w:b/>
          <w:bCs/>
        </w:rPr>
      </w:pPr>
    </w:p>
    <w:p w14:paraId="27166A3E" w14:textId="5E0A053A" w:rsidR="006F6F9A" w:rsidRPr="00AD5CCB" w:rsidRDefault="006F6F9A" w:rsidP="00AF188C">
      <w:pPr>
        <w:spacing w:after="0"/>
        <w:jc w:val="both"/>
        <w:rPr>
          <w:rFonts w:cs="Arial"/>
        </w:rPr>
      </w:pPr>
      <w:r w:rsidRPr="00AD5CCB">
        <w:rPr>
          <w:rFonts w:cs="Arial"/>
        </w:rPr>
        <w:t>Zu Nummer 1 Buchstabe a:</w:t>
      </w:r>
    </w:p>
    <w:p w14:paraId="073B491A" w14:textId="4F24DD2B" w:rsidR="00963C51" w:rsidRPr="00D168C3" w:rsidRDefault="00963C51" w:rsidP="00AF188C">
      <w:pPr>
        <w:spacing w:after="0"/>
        <w:jc w:val="both"/>
        <w:rPr>
          <w:rFonts w:cs="Arial"/>
        </w:rPr>
      </w:pPr>
      <w:r w:rsidRPr="00AD5CCB">
        <w:rPr>
          <w:rFonts w:cs="Arial"/>
        </w:rPr>
        <w:t>Zur Entlastung der Betroffenen ist das Einreichen eines Lichtbildes künftig nicht mehr</w:t>
      </w:r>
      <w:r w:rsidRPr="00D168C3">
        <w:rPr>
          <w:rFonts w:cs="Arial"/>
        </w:rPr>
        <w:t xml:space="preserve"> erforderlich.</w:t>
      </w:r>
    </w:p>
    <w:p w14:paraId="5215E2F0" w14:textId="77777777" w:rsidR="00963C51" w:rsidRPr="00D168C3" w:rsidRDefault="00963C51" w:rsidP="00AF188C">
      <w:pPr>
        <w:spacing w:after="0"/>
        <w:jc w:val="both"/>
        <w:rPr>
          <w:rFonts w:cs="Arial"/>
        </w:rPr>
      </w:pPr>
    </w:p>
    <w:p w14:paraId="31B3710B" w14:textId="7627D0A5" w:rsidR="003C2FFB" w:rsidRPr="00D168C3" w:rsidRDefault="006F6F9A" w:rsidP="00AF188C">
      <w:pPr>
        <w:spacing w:after="0"/>
        <w:jc w:val="both"/>
        <w:rPr>
          <w:rFonts w:cs="Arial"/>
        </w:rPr>
      </w:pPr>
      <w:r w:rsidRPr="00D168C3">
        <w:rPr>
          <w:rFonts w:cs="Arial"/>
        </w:rPr>
        <w:t>Zu Nummer 2 und 3:</w:t>
      </w:r>
    </w:p>
    <w:p w14:paraId="707C3D67" w14:textId="709A77C6" w:rsidR="006F6F9A" w:rsidRDefault="00593CF5" w:rsidP="00593CF5">
      <w:pPr>
        <w:spacing w:after="0"/>
        <w:jc w:val="both"/>
        <w:rPr>
          <w:rFonts w:cs="Arial"/>
        </w:rPr>
      </w:pPr>
      <w:r w:rsidRPr="003607A7">
        <w:rPr>
          <w:rFonts w:cs="Arial"/>
        </w:rPr>
        <w:t>Im Einklang mit der Formulierung des § 3a VwVfG M-V wird zur Entlastung der Betroffenen neben der Schriftform auch die elektronische Form ergänzt.</w:t>
      </w:r>
    </w:p>
    <w:p w14:paraId="70F1EBC6" w14:textId="77777777" w:rsidR="00593CF5" w:rsidRPr="00D168C3" w:rsidRDefault="00593CF5" w:rsidP="00593CF5">
      <w:pPr>
        <w:spacing w:after="0"/>
        <w:jc w:val="both"/>
        <w:rPr>
          <w:rFonts w:cs="Arial"/>
        </w:rPr>
      </w:pPr>
    </w:p>
    <w:p w14:paraId="0EE7ECE8" w14:textId="77777777" w:rsidR="00BF3C87" w:rsidRPr="00D168C3" w:rsidRDefault="00BF3C87" w:rsidP="00AF188C">
      <w:pPr>
        <w:pStyle w:val="Listenabsatz"/>
        <w:numPr>
          <w:ilvl w:val="0"/>
          <w:numId w:val="7"/>
        </w:numPr>
        <w:jc w:val="both"/>
        <w:rPr>
          <w:rFonts w:cs="Arial"/>
          <w:b/>
          <w:bCs/>
        </w:rPr>
      </w:pPr>
    </w:p>
    <w:p w14:paraId="3CEE4416" w14:textId="42D443E8" w:rsidR="00A843C3" w:rsidRPr="00D168C3" w:rsidRDefault="00BF3C87" w:rsidP="00AF188C">
      <w:pPr>
        <w:jc w:val="both"/>
        <w:rPr>
          <w:rFonts w:cs="Arial"/>
        </w:rPr>
      </w:pPr>
      <w:r w:rsidRPr="00D168C3">
        <w:rPr>
          <w:rFonts w:cs="Arial"/>
        </w:rPr>
        <w:t>Die bisherige Regelung ist europarechtswidrig. Der Schutz der Berufsbezeichnung innerhalb der Grenzen eines Bundeslandes läuft ins Leere, weil auch nur ein anderes Bundesland ein ähnliches solches Gesetz hat.  Es handelt sich um einen außer Verhältnis zum Nutzen stehenden Personal- und Sachkostenaufwand und ein Antragsverfahren, das die Niederlassung von akademischen Restauratoren in M-V erschwert und verteuert.</w:t>
      </w:r>
    </w:p>
    <w:p w14:paraId="1EAF4831" w14:textId="77777777" w:rsidR="00BF3C87" w:rsidRPr="00D168C3" w:rsidRDefault="00BF3C87" w:rsidP="00AF188C">
      <w:pPr>
        <w:pStyle w:val="Listenabsatz"/>
        <w:numPr>
          <w:ilvl w:val="0"/>
          <w:numId w:val="7"/>
        </w:numPr>
        <w:jc w:val="both"/>
        <w:rPr>
          <w:rFonts w:cs="Arial"/>
          <w:b/>
          <w:bCs/>
        </w:rPr>
      </w:pPr>
    </w:p>
    <w:p w14:paraId="7BB1BAE0" w14:textId="1D4501AF" w:rsidR="007D55BB" w:rsidRPr="00D168C3" w:rsidRDefault="007D55BB" w:rsidP="00AF188C">
      <w:pPr>
        <w:jc w:val="both"/>
        <w:rPr>
          <w:rFonts w:cs="Arial"/>
        </w:rPr>
      </w:pPr>
      <w:r w:rsidRPr="00D168C3">
        <w:rPr>
          <w:rFonts w:cs="Arial"/>
        </w:rPr>
        <w:t>Das Gesetz zur Umsetzung weiterer Gesetze für Gesundheitsfachberufe (Gesundheitsfachberufelandesausführungsgesetz - GfBLAG M-V) vom 11. Dezember 2024 (GVOBl. M-V S. 614) ermächtigt die für Bildung, Wissenschaft und Gesundheit zuständigen Ministerien in den erforderlichen Bereichen gewisser Gesundheitsfachberufe ergänzende Regelungen durch Rechtsverordnung zu erlassen. Das Pflegefachassistenzgesetz vom 28. Oktober 2025 sieht ebenfalls Ermächtigungsgrundlagen für die Länder vor. Diese werden daher im Gesundheitsfachberufelandesausführungsgesetz durch Artikel 1 des Gesetzentwurfes ergänzt. Soweit die jeweils benannte bundesrechtliche Regelung einen verpflichtenden Regelungsauftrag der Länder anstelle einer bloßen Regelungsoption enthält, ist die Verordnungsermächtigung vom jeweiligen Ermächtigungsadressaten verpflichtend wahrzunehmen. Das Gesetz ist mit keinen Kosten zu Lasten der Haushalte des Landes, der Kommunen, der Sozialversicherung oder Dritter verbunden.</w:t>
      </w:r>
    </w:p>
    <w:p w14:paraId="12F279E9" w14:textId="1255DB72" w:rsidR="007D55BB" w:rsidRPr="00D168C3" w:rsidRDefault="007D55BB" w:rsidP="00AF188C">
      <w:pPr>
        <w:spacing w:after="0"/>
        <w:jc w:val="both"/>
        <w:rPr>
          <w:rFonts w:cs="Arial"/>
        </w:rPr>
      </w:pPr>
      <w:r w:rsidRPr="00D168C3">
        <w:rPr>
          <w:rFonts w:cs="Arial"/>
        </w:rPr>
        <w:t>Zu Nummer 1:</w:t>
      </w:r>
    </w:p>
    <w:p w14:paraId="02D06C6D" w14:textId="7A35AA13" w:rsidR="007D55BB" w:rsidRPr="00D168C3" w:rsidRDefault="007D55BB" w:rsidP="00AF188C">
      <w:pPr>
        <w:spacing w:after="0"/>
        <w:jc w:val="both"/>
        <w:rPr>
          <w:rFonts w:cs="Arial"/>
        </w:rPr>
      </w:pPr>
      <w:r w:rsidRPr="00D168C3">
        <w:rPr>
          <w:rFonts w:cs="Arial"/>
        </w:rPr>
        <w:t xml:space="preserve">Durch § 9 werden die erforderlichen Rechtsgrundlagen geschaffen, um ergänzende landesrechtliche Regelungen durch Rechtsverordnungen in den jeweiligen Bereichen des Pflegefachassistenzgesetzes und der Ausbildungs- und Prüfungsverordnung für die Pflegefachassistenz erlassen zu können. Die die Lücken im Pflegefachassistenzgesetz ergänzenden Landeskompetenzen eröffnen zwar den jeweils konkretisierten Bereich für </w:t>
      </w:r>
      <w:r w:rsidRPr="00D168C3">
        <w:rPr>
          <w:rFonts w:cs="Arial"/>
        </w:rPr>
        <w:lastRenderedPageBreak/>
        <w:t>landesrechtliche Regelungen, enthalten aber keine gemäß Artikel 80 Absatz 1 GG tauglichen unmittelbaren Ermächtigungen zum Erlass von Rechtsverordnungen.</w:t>
      </w:r>
    </w:p>
    <w:p w14:paraId="77CAA345" w14:textId="77777777" w:rsidR="00D76E0D" w:rsidRPr="00D168C3" w:rsidRDefault="00D76E0D" w:rsidP="00AF188C">
      <w:pPr>
        <w:spacing w:after="0"/>
        <w:jc w:val="both"/>
        <w:rPr>
          <w:rFonts w:cs="Arial"/>
        </w:rPr>
      </w:pPr>
    </w:p>
    <w:p w14:paraId="10FB4A80" w14:textId="4740C76E" w:rsidR="007D55BB" w:rsidRPr="00D168C3" w:rsidRDefault="00D76E0D" w:rsidP="00AF188C">
      <w:pPr>
        <w:spacing w:after="0"/>
        <w:jc w:val="both"/>
        <w:rPr>
          <w:rFonts w:cs="Arial"/>
        </w:rPr>
      </w:pPr>
      <w:r w:rsidRPr="00D168C3">
        <w:rPr>
          <w:rFonts w:cs="Arial"/>
        </w:rPr>
        <w:t>Absatz 1 Nummer 1</w:t>
      </w:r>
    </w:p>
    <w:p w14:paraId="36099BF5" w14:textId="77777777" w:rsidR="00D76E0D" w:rsidRPr="00D168C3" w:rsidRDefault="00D76E0D" w:rsidP="00AF188C">
      <w:pPr>
        <w:spacing w:after="0"/>
        <w:jc w:val="both"/>
        <w:rPr>
          <w:rFonts w:cs="Arial"/>
        </w:rPr>
      </w:pPr>
      <w:r w:rsidRPr="00D168C3">
        <w:rPr>
          <w:rFonts w:cs="Arial"/>
        </w:rPr>
        <w:t>Gemäß § 3 Absatz 3 der Ausbildungs- und Prüfungsverordnung für die Pflegefachassistenz hat die Schule, unter Berücksichtigung der Empfehlungen im Rahmenplan nach § 91 Pflegefachassistenzgesetz, ein schulinternes Curriculum zu erstellen. Entsprechend § 5 Absatz 2 des Pflegefachassistenzgesetzes wird den Ländern grundsätzlich die Kompetenz zugesprochen, verbindliche Rahmenvorgaben für die Erstellung der schulinternen Curricula vorzugeben. Die in § 5 Absatz 2 getroffene Regelung ermöglicht es daher den Ländern, landeseinheitliche Vorgaben zum Lehrplan als Grundlage für die Erstellung der schulinternen Curricula zu schaffen. Zum einen kann ein solches Vorgehen die Ausbildung landesweit zu Gunsten der Ausbildungsqualität vergleichbar vereinheitlichen. Zum anderen können die einzelnen Schulen bei der Entwicklung ihres Curriculums entlastet werden.</w:t>
      </w:r>
    </w:p>
    <w:p w14:paraId="2C8B5A3B" w14:textId="29B0D162" w:rsidR="00D76E0D" w:rsidRPr="00D168C3" w:rsidRDefault="00D76E0D" w:rsidP="00AF188C">
      <w:pPr>
        <w:spacing w:after="0"/>
        <w:jc w:val="both"/>
        <w:rPr>
          <w:rFonts w:cs="Arial"/>
        </w:rPr>
      </w:pPr>
      <w:r w:rsidRPr="00D168C3">
        <w:rPr>
          <w:rFonts w:cs="Arial"/>
        </w:rPr>
        <w:t>Im Rahmen des Schulgenehmigungsverfahrens des für Bildung zuständigen Ministeriums werden die schulinternen Curricula durch das für Gesundheit zuständige Ministerium fachlich inhaltlich geprüft.  Es ist daher nur folgerichtig, dass der Erlass eines verbindlichen Lehrplans, welcher Grundlage für die Erstellung der schulinternen Curricula ist, im Einvernehmen mit dem für Gesundheit zuständigen Ministerium erfolgt.</w:t>
      </w:r>
    </w:p>
    <w:p w14:paraId="7B6F0830" w14:textId="45C7C256" w:rsidR="00D76E0D" w:rsidRPr="00D168C3" w:rsidRDefault="00D76E0D" w:rsidP="00AF188C">
      <w:pPr>
        <w:spacing w:after="0"/>
        <w:jc w:val="both"/>
        <w:rPr>
          <w:rFonts w:cs="Arial"/>
        </w:rPr>
      </w:pPr>
    </w:p>
    <w:p w14:paraId="48CDC3B0" w14:textId="1B2F9D22" w:rsidR="00D76E0D" w:rsidRPr="00D168C3" w:rsidRDefault="00D76E0D" w:rsidP="00AF188C">
      <w:pPr>
        <w:spacing w:after="0"/>
        <w:jc w:val="both"/>
        <w:rPr>
          <w:rFonts w:cs="Arial"/>
        </w:rPr>
      </w:pPr>
      <w:r w:rsidRPr="00D168C3">
        <w:rPr>
          <w:rFonts w:cs="Arial"/>
        </w:rPr>
        <w:t>Absatz 1 Nummer 2</w:t>
      </w:r>
    </w:p>
    <w:p w14:paraId="1B773F8D" w14:textId="67EE3311" w:rsidR="00D76E0D" w:rsidRPr="00D168C3" w:rsidRDefault="00D76E0D" w:rsidP="00AF188C">
      <w:pPr>
        <w:spacing w:after="0"/>
        <w:jc w:val="both"/>
        <w:rPr>
          <w:rFonts w:cs="Arial"/>
        </w:rPr>
      </w:pPr>
      <w:r w:rsidRPr="00D168C3">
        <w:rPr>
          <w:rFonts w:cs="Arial"/>
        </w:rPr>
        <w:t>§ 8 Absatz 3 des Pflegefachassistenzgesetzes ermöglicht es den Ländern, für die Anerkennung das Nähere zu den im Gesetz genannten Mindestanforderungen an die Pflegeschulen gemäß § 8 Absatz 1 Ziffern 1 bis 3 zu bestimmen und darüberhinausgehende Anforderungen festzulegen. Das Vorliegen der Anforderungen an die Pflegeschulen ist im Zusammenhang mit den Genehmigungs- bzw. Anerkennungsverfahren durch das für Bildung zuständige Ministerium zu prüfen. Hinsichtlich berufsrechtlicher Fragestellungen ist hierbei auch das für Gesundheit zuständige Ministerium einzubeziehen.</w:t>
      </w:r>
    </w:p>
    <w:p w14:paraId="3EFBE0DD" w14:textId="3C297C99" w:rsidR="00D76E0D" w:rsidRPr="00D168C3" w:rsidRDefault="00D76E0D" w:rsidP="00AF188C">
      <w:pPr>
        <w:spacing w:after="0"/>
        <w:jc w:val="both"/>
        <w:rPr>
          <w:rFonts w:cs="Arial"/>
        </w:rPr>
      </w:pPr>
    </w:p>
    <w:p w14:paraId="1E9DD1A0" w14:textId="4DAA7E30" w:rsidR="00D76E0D" w:rsidRPr="00D168C3" w:rsidRDefault="00D76E0D" w:rsidP="00AF188C">
      <w:pPr>
        <w:spacing w:after="0"/>
        <w:jc w:val="both"/>
        <w:rPr>
          <w:rFonts w:cs="Arial"/>
        </w:rPr>
      </w:pPr>
      <w:r w:rsidRPr="00D168C3">
        <w:rPr>
          <w:rFonts w:cs="Arial"/>
        </w:rPr>
        <w:t>Absatz 2</w:t>
      </w:r>
    </w:p>
    <w:p w14:paraId="20B7DDB8" w14:textId="1D27E05F" w:rsidR="00D76E0D" w:rsidRPr="00D168C3" w:rsidRDefault="00D76E0D" w:rsidP="00AF188C">
      <w:pPr>
        <w:spacing w:after="0"/>
        <w:jc w:val="both"/>
        <w:rPr>
          <w:rFonts w:cs="Arial"/>
        </w:rPr>
      </w:pPr>
      <w:r w:rsidRPr="00D168C3">
        <w:rPr>
          <w:rFonts w:cs="Arial"/>
        </w:rPr>
        <w:t>Die Bildung der Jahresnoten liegt in der Zuständigkeit der Länder. Um der Kultushoheit und den damit verbundenen landesspezifischen Besonderheiten Rechnung zu tragen, weist § 9 Absatz 2 Satz 3 der Pflegefachassistenz-Ausbildungs- und Prüfungsverordnung den Ländern eine entsprechende Regelungskompetenz zu.</w:t>
      </w:r>
    </w:p>
    <w:p w14:paraId="79D8242A" w14:textId="1DF0D491" w:rsidR="00D76E0D" w:rsidRPr="00D168C3" w:rsidRDefault="00D76E0D" w:rsidP="00AF188C">
      <w:pPr>
        <w:spacing w:after="0"/>
        <w:jc w:val="both"/>
        <w:rPr>
          <w:rFonts w:cs="Arial"/>
        </w:rPr>
      </w:pPr>
    </w:p>
    <w:p w14:paraId="3B177D9E" w14:textId="0CABD07C" w:rsidR="00D76E0D" w:rsidRPr="00D168C3" w:rsidRDefault="00D76E0D" w:rsidP="00AF188C">
      <w:pPr>
        <w:spacing w:after="0"/>
        <w:jc w:val="both"/>
        <w:rPr>
          <w:rFonts w:cs="Arial"/>
        </w:rPr>
      </w:pPr>
      <w:r w:rsidRPr="00D168C3">
        <w:rPr>
          <w:rFonts w:cs="Arial"/>
        </w:rPr>
        <w:t>Absatz 3 Nummer 1</w:t>
      </w:r>
    </w:p>
    <w:p w14:paraId="114D9252" w14:textId="39A29FA1" w:rsidR="00D76E0D" w:rsidRPr="00D168C3" w:rsidRDefault="00D76E0D" w:rsidP="00AF188C">
      <w:pPr>
        <w:spacing w:after="0"/>
        <w:jc w:val="both"/>
        <w:rPr>
          <w:rFonts w:cs="Arial"/>
        </w:rPr>
      </w:pPr>
      <w:r w:rsidRPr="00D168C3">
        <w:rPr>
          <w:rFonts w:cs="Arial"/>
        </w:rPr>
        <w:t>Das Pflegefachassistenzgesetz eröffnet die Möglichkeit, eine Ombudsstelle zur Beilegung von Streitigkeiten zwischen den Auszubildenden und den Trägern der praktischen Ausbildung zu errichten. Die Einrichtung einer Ombudsstelle zur Schlichtung von Streitigkeiten ist eine geeignete Maßnahme, um Einvernehmen zwischen der auszubildenden Person und der Vielfalt der Träger der praktischen Ausbildung herzustellen. Die Regelung der Einzelheiten bleibt den Ländern vorbehalten. Sie kann und soll durch Rechtsverordnung erfolgen.</w:t>
      </w:r>
    </w:p>
    <w:p w14:paraId="2ED2ABF2" w14:textId="77777777" w:rsidR="00D76E0D" w:rsidRPr="00D168C3" w:rsidRDefault="00D76E0D" w:rsidP="00AF188C">
      <w:pPr>
        <w:spacing w:after="0"/>
        <w:jc w:val="both"/>
        <w:rPr>
          <w:rFonts w:cs="Arial"/>
        </w:rPr>
      </w:pPr>
    </w:p>
    <w:p w14:paraId="26A60D68" w14:textId="3669E230" w:rsidR="00D76E0D" w:rsidRPr="00D168C3" w:rsidRDefault="00D76E0D" w:rsidP="00AF188C">
      <w:pPr>
        <w:spacing w:after="0"/>
        <w:jc w:val="both"/>
        <w:rPr>
          <w:rFonts w:cs="Arial"/>
        </w:rPr>
      </w:pPr>
      <w:r w:rsidRPr="00D168C3">
        <w:rPr>
          <w:rFonts w:cs="Arial"/>
        </w:rPr>
        <w:t>Absatz 3 Nummer 2</w:t>
      </w:r>
    </w:p>
    <w:p w14:paraId="7F2F9E4C" w14:textId="0C2AAC40" w:rsidR="00D76E0D" w:rsidRPr="00D168C3" w:rsidRDefault="00D76E0D" w:rsidP="00AF188C">
      <w:pPr>
        <w:spacing w:after="0"/>
        <w:jc w:val="both"/>
        <w:rPr>
          <w:rFonts w:cs="Arial"/>
        </w:rPr>
      </w:pPr>
      <w:r w:rsidRPr="00D168C3">
        <w:rPr>
          <w:rFonts w:cs="Arial"/>
        </w:rPr>
        <w:t>Das Pflegefachassistenzgesetz erlaubt den Ländern gem. § 46 Absatz 3 die Erfassung von statistischen Angaben über die im Pflegefachassistenzgesetz benannten Angaben hinaus. Derzeit ist nicht geplant, eine entsprechende Verordnung zu erlassen. Für zukünftige Entwicklungen soll jedoch vorsorglich eine Ermächtigung in das Gesetz aufgenommen werden.</w:t>
      </w:r>
    </w:p>
    <w:p w14:paraId="5C1ED33D" w14:textId="259AA9A6" w:rsidR="00D76E0D" w:rsidRPr="00D168C3" w:rsidRDefault="00D76E0D" w:rsidP="00AF188C">
      <w:pPr>
        <w:spacing w:after="0"/>
        <w:jc w:val="both"/>
        <w:rPr>
          <w:rFonts w:cs="Arial"/>
        </w:rPr>
      </w:pPr>
    </w:p>
    <w:p w14:paraId="46EC2C93" w14:textId="17172DAC" w:rsidR="00D76E0D" w:rsidRPr="00D168C3" w:rsidRDefault="00D76E0D" w:rsidP="00AF188C">
      <w:pPr>
        <w:spacing w:after="0"/>
        <w:jc w:val="both"/>
        <w:rPr>
          <w:rFonts w:cs="Arial"/>
        </w:rPr>
      </w:pPr>
      <w:r w:rsidRPr="00D168C3">
        <w:rPr>
          <w:rFonts w:cs="Arial"/>
        </w:rPr>
        <w:t>Absatz 3 Nummer 3</w:t>
      </w:r>
    </w:p>
    <w:p w14:paraId="396AFAA8" w14:textId="44388539" w:rsidR="00D76E0D" w:rsidRPr="00D168C3" w:rsidRDefault="00D76E0D" w:rsidP="00AF188C">
      <w:pPr>
        <w:spacing w:after="0"/>
        <w:jc w:val="both"/>
        <w:rPr>
          <w:rFonts w:cs="Arial"/>
        </w:rPr>
      </w:pPr>
      <w:r w:rsidRPr="00D168C3">
        <w:rPr>
          <w:rFonts w:cs="Arial"/>
        </w:rPr>
        <w:t>Die Ausbildungs- und Prüfungsverordnung für die Pflegefachassistenz schreibt vor, dass die Befähigung zur Praxisanleitung durch eine berufspädagogische Zusatzqualifikation und eine kontinuierliche, insbesondere berufspädagogische Fortbildung gegenüber der zuständigen Behörde nachzuweisen ist. Mit dem Ausführungsgesetz besteht die Möglichkeit, den Inhalt der berufspädagogischen Zusatzqualifikation und Fortbildung mittels Rechtsverordnung zu regeln, wobei die im Regelungstext benannten Aspekte zu berücksichtigen sind.</w:t>
      </w:r>
    </w:p>
    <w:p w14:paraId="475BA656" w14:textId="220907C9" w:rsidR="00D76E0D" w:rsidRPr="00D168C3" w:rsidRDefault="00D76E0D" w:rsidP="00AF188C">
      <w:pPr>
        <w:spacing w:after="0"/>
        <w:jc w:val="both"/>
        <w:rPr>
          <w:rFonts w:cs="Arial"/>
        </w:rPr>
      </w:pPr>
    </w:p>
    <w:p w14:paraId="4F7C7BFE" w14:textId="6F3FD7FA" w:rsidR="00D76E0D" w:rsidRPr="00D168C3" w:rsidRDefault="00D76E0D" w:rsidP="00AF188C">
      <w:pPr>
        <w:spacing w:after="0"/>
        <w:jc w:val="both"/>
        <w:rPr>
          <w:rFonts w:cs="Arial"/>
        </w:rPr>
      </w:pPr>
      <w:r w:rsidRPr="00D168C3">
        <w:rPr>
          <w:rFonts w:cs="Arial"/>
        </w:rPr>
        <w:t>Absatz 4 Nummer 1</w:t>
      </w:r>
    </w:p>
    <w:p w14:paraId="7AE5684D" w14:textId="5671ADDA" w:rsidR="00D76E0D" w:rsidRPr="00D168C3" w:rsidRDefault="00D76E0D" w:rsidP="00AF188C">
      <w:pPr>
        <w:spacing w:after="0"/>
        <w:jc w:val="both"/>
        <w:rPr>
          <w:rFonts w:cs="Arial"/>
        </w:rPr>
      </w:pPr>
      <w:r w:rsidRPr="00D168C3">
        <w:rPr>
          <w:rFonts w:cs="Arial"/>
        </w:rPr>
        <w:t>§ 6 Absatz 3 Satz 1 des Pflegefachassistenzgesetzes ermöglicht es den Ländern, weitere Vorgaben zu den unter Absatz 1 genannten Einrichtungen zu bestimmen. Hiermit soll die Qualität der praktischen Ausbildung gesichert werden. Um dies zu erfüllen, sind berufsrechtliche Regelungen notwendig, die der Kompetenzvermittlung gemäß § 4 Absatz 1 der Ausbildungs- und Prüfungsverordnung für die Pflegefachassistenz dienen, die zur Erreichung der Ausbildungsziele gemäß § 4 des Pflegefachassistenzgesetzes erforderlich sind. Themen hierbei können die räumliche und sächliche Ausstattung der Krankenhäuser und stationären und ambulanten Pflegeeinrichtungen sowie die Anzahl, Eignung, Ausbildung und Befähigung der Praxisanleiterinnen und Praxisanleitern sein.</w:t>
      </w:r>
    </w:p>
    <w:p w14:paraId="62277051" w14:textId="1E0CB163" w:rsidR="00D76E0D" w:rsidRPr="00D168C3" w:rsidRDefault="00D76E0D" w:rsidP="00AF188C">
      <w:pPr>
        <w:spacing w:after="0"/>
        <w:jc w:val="both"/>
        <w:rPr>
          <w:rFonts w:cs="Arial"/>
        </w:rPr>
      </w:pPr>
    </w:p>
    <w:p w14:paraId="67FDF443" w14:textId="7F4D905F" w:rsidR="00D76E0D" w:rsidRPr="00D168C3" w:rsidRDefault="00D76E0D" w:rsidP="00AF188C">
      <w:pPr>
        <w:spacing w:after="0"/>
        <w:jc w:val="both"/>
        <w:rPr>
          <w:rFonts w:cs="Arial"/>
        </w:rPr>
      </w:pPr>
      <w:r w:rsidRPr="00D168C3">
        <w:rPr>
          <w:rFonts w:cs="Arial"/>
        </w:rPr>
        <w:t>Absatz 4 Nummer 2</w:t>
      </w:r>
    </w:p>
    <w:p w14:paraId="32434B9A" w14:textId="620F7F71" w:rsidR="00D76E0D" w:rsidRPr="00D168C3" w:rsidRDefault="00D76E0D" w:rsidP="00AF188C">
      <w:pPr>
        <w:spacing w:after="0"/>
        <w:jc w:val="both"/>
        <w:rPr>
          <w:rFonts w:cs="Arial"/>
        </w:rPr>
      </w:pPr>
      <w:r w:rsidRPr="00D168C3">
        <w:rPr>
          <w:rFonts w:cs="Arial"/>
        </w:rPr>
        <w:t>§ 11 Absatz 1 Nummer 3 des Pflegefachassistenzgesetzes ermöglicht es den Ländern, das Nähere zum Kompetenzfeststellungsverfahren bei der Anrechnung gleichwertiger Ausbildungen und Berufserfahrungen zu regeln. Ziel ist es, ein transparentes und einheitliches Verfahren zu entwickeln, welches die Anerkennung von gleichwertigen Ausbildungen und Berufserfahrungen im Rahmen des neuen Gesetzes ermöglicht und somit die Integration erfahrener Fachkräfte in die Pflegefachassistenzausbildung erleichtert.</w:t>
      </w:r>
    </w:p>
    <w:p w14:paraId="0798ED8B" w14:textId="10DD98A8" w:rsidR="00D76E0D" w:rsidRPr="00D168C3" w:rsidRDefault="00D76E0D" w:rsidP="00AF188C">
      <w:pPr>
        <w:spacing w:after="0"/>
        <w:jc w:val="both"/>
        <w:rPr>
          <w:rFonts w:cs="Arial"/>
        </w:rPr>
      </w:pPr>
    </w:p>
    <w:p w14:paraId="2036307C" w14:textId="5DA884C5" w:rsidR="00D76E0D" w:rsidRPr="00D168C3" w:rsidRDefault="00D76E0D" w:rsidP="00AF188C">
      <w:pPr>
        <w:spacing w:after="0"/>
        <w:jc w:val="both"/>
        <w:rPr>
          <w:rFonts w:cs="Arial"/>
        </w:rPr>
      </w:pPr>
      <w:r w:rsidRPr="00D168C3">
        <w:rPr>
          <w:rFonts w:cs="Arial"/>
        </w:rPr>
        <w:t>Absatz 4 Nummer 3</w:t>
      </w:r>
    </w:p>
    <w:p w14:paraId="6EC0F7EB" w14:textId="128992D8" w:rsidR="00D76E0D" w:rsidRPr="00D168C3" w:rsidRDefault="00D76E0D" w:rsidP="00AF188C">
      <w:pPr>
        <w:spacing w:after="0"/>
        <w:jc w:val="both"/>
        <w:rPr>
          <w:rFonts w:cs="Arial"/>
        </w:rPr>
      </w:pPr>
      <w:r w:rsidRPr="00D168C3">
        <w:rPr>
          <w:rFonts w:cs="Arial"/>
        </w:rPr>
        <w:t>Es soll die für die Durchführung des Pflegefachassistenzgesetzes zuständige Behörde bestimmt werden.</w:t>
      </w:r>
    </w:p>
    <w:p w14:paraId="42D3125B" w14:textId="199035E1" w:rsidR="00D76E0D" w:rsidRPr="00D168C3" w:rsidRDefault="00D76E0D" w:rsidP="00AF188C">
      <w:pPr>
        <w:spacing w:after="0"/>
        <w:jc w:val="both"/>
        <w:rPr>
          <w:rFonts w:cs="Arial"/>
        </w:rPr>
      </w:pPr>
    </w:p>
    <w:p w14:paraId="4C6FBD5F" w14:textId="35722B05" w:rsidR="00D76E0D" w:rsidRPr="00D168C3" w:rsidRDefault="00D76E0D" w:rsidP="00AF188C">
      <w:pPr>
        <w:spacing w:after="0"/>
        <w:jc w:val="both"/>
        <w:rPr>
          <w:rFonts w:cs="Arial"/>
        </w:rPr>
      </w:pPr>
      <w:r w:rsidRPr="00D168C3">
        <w:rPr>
          <w:rFonts w:cs="Arial"/>
        </w:rPr>
        <w:t>Absatz 4 Nummer 4</w:t>
      </w:r>
    </w:p>
    <w:p w14:paraId="2BEC8580" w14:textId="765FF004" w:rsidR="00D76E0D" w:rsidRPr="00D168C3" w:rsidRDefault="00D76E0D" w:rsidP="00AF188C">
      <w:pPr>
        <w:spacing w:after="0"/>
        <w:jc w:val="both"/>
        <w:rPr>
          <w:rFonts w:cs="Arial"/>
        </w:rPr>
      </w:pPr>
      <w:r w:rsidRPr="00D168C3">
        <w:rPr>
          <w:rFonts w:cs="Arial"/>
        </w:rPr>
        <w:t>Die Verordnungsermächtigung eröffnet dem für Gesundheit zuständigen Ministerium die Möglichkeit, eine Übergangsregelung für Auszubildende zu schaffen, die ihre Ausbildung nach den bisherigen landesrechtlichen Vorschriften begonnen haben und nun ins neue System des Pflegefachassistenzgesetzes überführt werden sollen. Ziel ist es, eine nahtlose Weiterführung der Ausbildung zu gewährleisten, ohne dass bereits absolvierte Ausbildungsabschnitte wiederholt werden müssen.</w:t>
      </w:r>
    </w:p>
    <w:p w14:paraId="1F3F1A19" w14:textId="4A63F75D" w:rsidR="00D76E0D" w:rsidRPr="00D168C3" w:rsidRDefault="00D76E0D" w:rsidP="00AF188C">
      <w:pPr>
        <w:spacing w:after="0"/>
        <w:jc w:val="both"/>
        <w:rPr>
          <w:rFonts w:cs="Arial"/>
        </w:rPr>
      </w:pPr>
    </w:p>
    <w:p w14:paraId="6BBBE93C" w14:textId="469FF430" w:rsidR="00D76E0D" w:rsidRPr="00D168C3" w:rsidRDefault="00D76E0D" w:rsidP="00AF188C">
      <w:pPr>
        <w:spacing w:after="0"/>
        <w:jc w:val="both"/>
        <w:rPr>
          <w:rFonts w:cs="Arial"/>
        </w:rPr>
      </w:pPr>
      <w:r w:rsidRPr="00D168C3">
        <w:rPr>
          <w:rFonts w:cs="Arial"/>
        </w:rPr>
        <w:t>Absatz 4 Nummer 5</w:t>
      </w:r>
    </w:p>
    <w:p w14:paraId="5D7B4D64" w14:textId="0484E865" w:rsidR="00D76E0D" w:rsidRPr="00D168C3" w:rsidRDefault="00D76E0D" w:rsidP="00AF188C">
      <w:pPr>
        <w:spacing w:after="0"/>
        <w:jc w:val="both"/>
        <w:rPr>
          <w:rFonts w:cs="Arial"/>
        </w:rPr>
      </w:pPr>
      <w:r w:rsidRPr="00D168C3">
        <w:rPr>
          <w:rFonts w:cs="Arial"/>
        </w:rPr>
        <w:t>Die Verordnungsermächtigung eröffnet dem für Gesundheit zuständigen Ministerium die Möglichkeit, eine Regelung dahingehend zu schaffen, dass die landesrechtliche Kranken- und Altenpflegehelferausbildung noch bis zum 31. Dezember 2027 begonnen und bis zum 31. Dezember 2030 abgeschlossen werden kann. Dies gewährleistet einen reibungslosen Übergang von der landes- zur bundesrechtlichen Ausbildung.</w:t>
      </w:r>
    </w:p>
    <w:p w14:paraId="79D42B81" w14:textId="77777777" w:rsidR="00036F60" w:rsidRPr="00D168C3" w:rsidRDefault="00036F60" w:rsidP="00AF188C">
      <w:pPr>
        <w:spacing w:after="0"/>
        <w:jc w:val="both"/>
        <w:rPr>
          <w:rFonts w:cs="Arial"/>
        </w:rPr>
      </w:pPr>
    </w:p>
    <w:p w14:paraId="40ADD526" w14:textId="1F69AA5B" w:rsidR="00D76E0D" w:rsidRPr="00D168C3" w:rsidRDefault="00D76E0D" w:rsidP="00AF188C">
      <w:pPr>
        <w:spacing w:after="0"/>
        <w:jc w:val="both"/>
        <w:rPr>
          <w:rFonts w:cs="Arial"/>
        </w:rPr>
      </w:pPr>
      <w:r w:rsidRPr="00D168C3">
        <w:rPr>
          <w:rFonts w:cs="Arial"/>
        </w:rPr>
        <w:t>Absatz 4 Nummer 6</w:t>
      </w:r>
    </w:p>
    <w:p w14:paraId="5D55D3DE" w14:textId="01F81D16" w:rsidR="00D76E0D" w:rsidRPr="00D168C3" w:rsidRDefault="00D76E0D" w:rsidP="00AF188C">
      <w:pPr>
        <w:spacing w:after="0"/>
        <w:jc w:val="both"/>
        <w:rPr>
          <w:rFonts w:cs="Arial"/>
        </w:rPr>
      </w:pPr>
      <w:r w:rsidRPr="00D168C3">
        <w:rPr>
          <w:rFonts w:cs="Arial"/>
        </w:rPr>
        <w:lastRenderedPageBreak/>
        <w:t>§ 3 Absatz 4 der Pflegefachassistenz-Ausbildungs- und Prüfungsverordnung ermöglicht es den Ländern, ergänzende Regelungen hinsichtlich der Nutzung von Lehrformaten, die selbstgesteuertes Lernen oder E-Learning beinhalten, bei der Konzeption des theoretischen und praktischen Unterrichts zu treffen. Hierzu zählen Regelungen zum zeitlichen Umfang. Mit dem Ausführungsgesetz besteht die Möglichkeit, diese mittels Rechtsverordnung treffen zu können. Die im Regelungstext benannten Aspekte sind dabei zu berücksichtigen. Ziel ist, den Schulen den Einsatz von selbstgesteuertem Lernen und E-Learning zu ermöglichen, um die berufsrechtliche Möglichkeit moderner Unterrichtsformate im Rahmen der Fachaufsicht umsetzen zu können. Dies soll auch für Schulen in freier Trägerschaft, in denen dem für Bildung zuständigen Ministerium keine Dienstaufsicht zusteht, ermöglicht werden. Für öffentliche Schulen entscheidet das für Bildung zuständige Ministerium dienstrechtlich mittels Unterrichtsversorgungsfaktor über den Umfang des Einsatzes besonderer Lehrformate, welche einen höheren Personaleinsatz erfordern.</w:t>
      </w:r>
    </w:p>
    <w:p w14:paraId="780F459B" w14:textId="2E84184D" w:rsidR="00D76E0D" w:rsidRPr="00D168C3" w:rsidRDefault="00D76E0D" w:rsidP="00AF188C">
      <w:pPr>
        <w:spacing w:after="0"/>
        <w:jc w:val="both"/>
        <w:rPr>
          <w:rFonts w:cs="Arial"/>
        </w:rPr>
      </w:pPr>
    </w:p>
    <w:p w14:paraId="026E4BAA" w14:textId="61DD4FB0" w:rsidR="00D76E0D" w:rsidRPr="00D168C3" w:rsidRDefault="00D76E0D" w:rsidP="00AF188C">
      <w:pPr>
        <w:spacing w:after="0"/>
        <w:jc w:val="both"/>
        <w:rPr>
          <w:rFonts w:cs="Arial"/>
        </w:rPr>
      </w:pPr>
      <w:r w:rsidRPr="00D168C3">
        <w:rPr>
          <w:rFonts w:cs="Arial"/>
        </w:rPr>
        <w:t>Absatz 4 Nummer 7</w:t>
      </w:r>
    </w:p>
    <w:p w14:paraId="24646AAD" w14:textId="26593486" w:rsidR="00D76E0D" w:rsidRPr="00D168C3" w:rsidRDefault="00D76E0D" w:rsidP="00AF188C">
      <w:pPr>
        <w:spacing w:after="0"/>
        <w:jc w:val="both"/>
        <w:rPr>
          <w:rFonts w:cs="Arial"/>
        </w:rPr>
      </w:pPr>
      <w:r w:rsidRPr="00D168C3">
        <w:rPr>
          <w:rFonts w:cs="Arial"/>
        </w:rPr>
        <w:t>§ 6 Absatz 5 Satz 4 der Pflegefachassistenz-Ausbildungs- und Prüfungsverordnung ermöglicht es den Ländern, ergänzende Regelungen hinsichtlich der Nutzung von Lehrformaten, die selbstgesteuertes</w:t>
      </w:r>
      <w:r w:rsidR="00036F60" w:rsidRPr="00D168C3">
        <w:rPr>
          <w:rFonts w:cs="Arial"/>
        </w:rPr>
        <w:t xml:space="preserve"> </w:t>
      </w:r>
      <w:r w:rsidRPr="00D168C3">
        <w:rPr>
          <w:rFonts w:cs="Arial"/>
        </w:rPr>
        <w:t>Lernen oder E-Learning beinhalten, bei der Konzeption der berufspädagogischen Zusatzqualifikation und der kontinuierlichen, insbesondere berufspädagogischen Fortbildung zu treffen. Hierzu zählen Regelungen zum zeitlichen Umfang. Mit dem Ausführungsgesetz besteht die Möglichkeit, diese mittels Rechtsverordnung treffen zu können. Die im Regelungstext benannten Aspekte sind dabei zu berücksichtigen.</w:t>
      </w:r>
    </w:p>
    <w:p w14:paraId="1CA5099B" w14:textId="42CC1056" w:rsidR="00D76E0D" w:rsidRPr="00D168C3" w:rsidRDefault="00D76E0D" w:rsidP="00AF188C">
      <w:pPr>
        <w:spacing w:after="0"/>
        <w:jc w:val="both"/>
        <w:rPr>
          <w:rFonts w:cs="Arial"/>
        </w:rPr>
      </w:pPr>
    </w:p>
    <w:p w14:paraId="299B9999" w14:textId="0246EAE8" w:rsidR="00036F60" w:rsidRPr="00D168C3" w:rsidRDefault="00036F60" w:rsidP="00AF188C">
      <w:pPr>
        <w:spacing w:after="0"/>
        <w:jc w:val="both"/>
        <w:rPr>
          <w:rFonts w:cs="Arial"/>
        </w:rPr>
      </w:pPr>
      <w:r w:rsidRPr="00D168C3">
        <w:rPr>
          <w:rFonts w:cs="Arial"/>
        </w:rPr>
        <w:t>Absatz 4 Nummer 8</w:t>
      </w:r>
    </w:p>
    <w:p w14:paraId="127BACD5" w14:textId="18827AA6" w:rsidR="00036F60" w:rsidRDefault="00036F60" w:rsidP="00AF188C">
      <w:pPr>
        <w:spacing w:after="0"/>
        <w:jc w:val="both"/>
        <w:rPr>
          <w:rFonts w:cs="Arial"/>
        </w:rPr>
      </w:pPr>
      <w:r w:rsidRPr="00D168C3">
        <w:rPr>
          <w:rFonts w:cs="Arial"/>
        </w:rPr>
        <w:t>Die neue Pflegefachassistenzausbildung erfordert aufgrund ihrer generalistischen Ausrichtung eine enge Zusammenarbeit der Pflegeschule, des Trägers der praktischen Ausbildung sowie der anderen an der Ausbildung beteiligten Einrichtungen. Um diese Zusammenarbeit abzusichern, erfolgreich und arbeitsteilig zu gestalten, schließen die Beteiligten Kooperationsverträge. Dem für Gesundheit zuständigen Ministerium wird gemäß § 10 Absatz 1 Satz 2 der Pflegefachassistenz-Ausbildungs- und Prüfungsverordnung die Möglichkeit eröffnet, Näheres bezüglich der Kooperationsverträge zu regeln.</w:t>
      </w:r>
    </w:p>
    <w:p w14:paraId="60A7FE48" w14:textId="27D2F10A" w:rsidR="00D75A47" w:rsidRDefault="00D75A47" w:rsidP="00AF188C">
      <w:pPr>
        <w:spacing w:after="0"/>
        <w:jc w:val="both"/>
        <w:rPr>
          <w:rFonts w:cs="Arial"/>
        </w:rPr>
      </w:pPr>
    </w:p>
    <w:p w14:paraId="6EE561BC" w14:textId="77777777" w:rsidR="00D75A47" w:rsidRPr="00D75A47" w:rsidRDefault="00D75A47" w:rsidP="00D75A47">
      <w:pPr>
        <w:spacing w:after="0"/>
        <w:jc w:val="both"/>
        <w:rPr>
          <w:rFonts w:cs="Arial"/>
        </w:rPr>
      </w:pPr>
      <w:r w:rsidRPr="00D75A47">
        <w:rPr>
          <w:rFonts w:cs="Arial"/>
        </w:rPr>
        <w:t>Zu Absatz 5</w:t>
      </w:r>
    </w:p>
    <w:p w14:paraId="70E35DE2" w14:textId="77777777" w:rsidR="00D75A47" w:rsidRPr="00D75A47" w:rsidRDefault="00D75A47" w:rsidP="00D75A47">
      <w:pPr>
        <w:spacing w:after="0"/>
        <w:jc w:val="both"/>
        <w:rPr>
          <w:rFonts w:cs="Arial"/>
        </w:rPr>
      </w:pPr>
      <w:r w:rsidRPr="00D75A47">
        <w:rPr>
          <w:rFonts w:cs="Arial"/>
        </w:rPr>
        <w:t>Zur Sicherstellung der notwendigen Ausbildungskapazitäten in den Ländern sieht § 52 Absatz 2 Pflegefachassistenzgesetz vor, dass Pflegehelferausbildungen nach landesrechtlichen Vorschriften bis zum Ablauf des 31. Dezember 2027 neu begonnen werden dürfen. Die Länder haben den letztmaligen Beginn landesrechtlich zu regeln. Mit dem Absatz 5 wird diesem Erfordernis nachgekommen. Er regelt den letztmaligen Beginn einer Ausbildung nach der Kranken- und Altenpflegehelferverordnung vom 16. August 2004. Mit der Festlegung des Stichtages auf den 1. September 2027 wird ein klarer und verlässlicher zeitlicher Rahmen für den Übergang hin zur bundeseinheitlichen Pflegefachassistenzausbildung geschaffen.</w:t>
      </w:r>
    </w:p>
    <w:p w14:paraId="5D959937" w14:textId="77777777" w:rsidR="00D75A47" w:rsidRPr="00D75A47" w:rsidRDefault="00D75A47" w:rsidP="00D75A47">
      <w:pPr>
        <w:spacing w:after="0"/>
        <w:jc w:val="both"/>
        <w:rPr>
          <w:rFonts w:cs="Arial"/>
        </w:rPr>
      </w:pPr>
      <w:r w:rsidRPr="00D75A47">
        <w:rPr>
          <w:rFonts w:cs="Arial"/>
        </w:rPr>
        <w:t xml:space="preserve">Die Übergangsfrist trägt dem Vertrauensschutz der Ausbildungsträger sowie der Auszubildenden Rechnung und ermöglicht es insbesondere den Pflegeschulen und praktischen Ausbildungseinrichtungen, ihre Ausbildungsangebote, Curricula und organisatorischen Strukturen rechtzeitig an die geänderten rechtlichen Vorgaben anzupassen. </w:t>
      </w:r>
    </w:p>
    <w:p w14:paraId="6275E126" w14:textId="4F23C565" w:rsidR="00D75A47" w:rsidRPr="00D168C3" w:rsidRDefault="00D75A47" w:rsidP="00D75A47">
      <w:pPr>
        <w:spacing w:after="0"/>
        <w:jc w:val="both"/>
        <w:rPr>
          <w:rFonts w:cs="Arial"/>
        </w:rPr>
      </w:pPr>
      <w:r w:rsidRPr="00D75A47">
        <w:rPr>
          <w:rFonts w:cs="Arial"/>
        </w:rPr>
        <w:t xml:space="preserve">Zugleich dient die Regelung der schrittweisen Harmonisierung und Modernisierung der Pflegeausbildung und verhindert das Nebeneinander dauerhaft unterschiedlicher Ausbildungsregelungen. Durch die Festlegung eines verbindlichen Enddatums wird die </w:t>
      </w:r>
      <w:r w:rsidRPr="00D75A47">
        <w:rPr>
          <w:rFonts w:cs="Arial"/>
        </w:rPr>
        <w:lastRenderedPageBreak/>
        <w:t>notwendige Planungssicherheit für alle Beteiligten gewährleistet und ein geordneter Übergang von der landes- zur bundesrechtlichen Ausbildung sichergestellt.</w:t>
      </w:r>
    </w:p>
    <w:p w14:paraId="7350055E" w14:textId="77777777" w:rsidR="00036F60" w:rsidRPr="00D168C3" w:rsidRDefault="00036F60" w:rsidP="00AF188C">
      <w:pPr>
        <w:spacing w:after="0"/>
        <w:jc w:val="both"/>
        <w:rPr>
          <w:rFonts w:cs="Arial"/>
        </w:rPr>
      </w:pPr>
    </w:p>
    <w:p w14:paraId="61455328" w14:textId="77777777" w:rsidR="00955BFC" w:rsidRPr="00D168C3" w:rsidRDefault="00955BFC" w:rsidP="00AF188C">
      <w:pPr>
        <w:pStyle w:val="Listenabsatz"/>
        <w:numPr>
          <w:ilvl w:val="0"/>
          <w:numId w:val="7"/>
        </w:numPr>
        <w:jc w:val="both"/>
        <w:rPr>
          <w:rFonts w:cs="Arial"/>
          <w:b/>
          <w:bCs/>
        </w:rPr>
      </w:pPr>
    </w:p>
    <w:p w14:paraId="478F177F" w14:textId="3744FB75" w:rsidR="0023454B" w:rsidRPr="00D168C3" w:rsidRDefault="0023454B" w:rsidP="00AF188C">
      <w:pPr>
        <w:spacing w:after="0"/>
        <w:jc w:val="both"/>
        <w:rPr>
          <w:rFonts w:cs="Arial"/>
        </w:rPr>
      </w:pPr>
      <w:r w:rsidRPr="00D168C3">
        <w:rPr>
          <w:rFonts w:cs="Arial"/>
        </w:rPr>
        <w:t>Zu Nummer 1:</w:t>
      </w:r>
    </w:p>
    <w:p w14:paraId="43C06E36" w14:textId="77777777" w:rsidR="00D75A47" w:rsidRDefault="00D75A47" w:rsidP="00D75A47">
      <w:pPr>
        <w:spacing w:after="0"/>
        <w:jc w:val="both"/>
        <w:rPr>
          <w:rFonts w:cs="Arial"/>
        </w:rPr>
      </w:pPr>
      <w:r w:rsidRPr="0023454B">
        <w:rPr>
          <w:rFonts w:cs="Arial"/>
        </w:rPr>
        <w:t xml:space="preserve">Die Genehmigungsfiktion könnte bei Anträgen, die im Rahmen der Krankenhausplanung gestellt werden, die Ziele der Krankenhausplanung erheblich gefährden. Solche Anträge bedürfen einer umfangreichen Ermittlung und einer planungsrechtlichen Abwägung. Bei vielen Anträgen sind auch die Drittinteressen u.a. konkurrierender Krankenhäuser zu berücksichtigen und umfangreich zu prüfen. Die Genehmigung der Zuweisung von Leistungsgruppen hängt dabei häufig auch von der Zuarbeit eines Gutachtens des Medizinischen Dienstes ab. Auch ist eine Einbindung der Planungsbeteiligten zwingend </w:t>
      </w:r>
      <w:r>
        <w:rPr>
          <w:rFonts w:cs="Arial"/>
        </w:rPr>
        <w:t xml:space="preserve">aufgrund bundes- und landesgesetzlicher Vorgaben </w:t>
      </w:r>
      <w:r w:rsidRPr="0023454B">
        <w:rPr>
          <w:rFonts w:cs="Arial"/>
        </w:rPr>
        <w:t>erforderlich, die mit ihren Interessen im Verfahren gehört werden müssen. Bestünde aufgrund der Genehmigungsfiktion die Notwendigkeit einer sehr schnellen Entscheidung, könnte dies zu Verfahrensfehlern und unbeabsichtigten Eingriffen in die Rechte der antragstellenden Krankenhäuser oder dritter Krankenhäuser führen. Eine sorgfältige Prüfung aller Zuweisungsvoraussetzungen und die Abwägung aller Interessen ist in so kurzer Zeit kaum möglich. Vorschnelle Entscheidungen über Anträgen die im Rahmen der Krankenhausfinanzierung gestellt werden, müssen ebenfalls unbedingt vermeiden werden. Es ist scherzustellen, dass nur Bewilligungen im Rahmen der zur Verfügung stehenden Haushaltsmittel erfolgen. Auch hier ist eine sorgfältige Prüfung und die Zuarbeit und Einbindung Dritter, u.a. der Planungsbeteiligtenrunde zwingend erforderlich. Werden mehr Anträge gestellt und ggf. im Rahmen einer Genehmigungsfiktion positiv entschieden/bewilligt als mit den vorhandenen Haushaltsmitteln finanziert werden können, so ist mit erheblichen haushaltsrechtlichen Problemen zu rechnen.</w:t>
      </w:r>
    </w:p>
    <w:p w14:paraId="2B19F02B" w14:textId="77777777" w:rsidR="0023454B" w:rsidRPr="00D168C3" w:rsidRDefault="0023454B" w:rsidP="00AF188C">
      <w:pPr>
        <w:spacing w:after="0"/>
        <w:jc w:val="both"/>
        <w:rPr>
          <w:rFonts w:cs="Arial"/>
        </w:rPr>
      </w:pPr>
    </w:p>
    <w:p w14:paraId="3BB9984B" w14:textId="57852CF1" w:rsidR="005F0BC9" w:rsidRPr="00D168C3" w:rsidRDefault="005F0BC9" w:rsidP="00AF188C">
      <w:pPr>
        <w:spacing w:after="0"/>
        <w:jc w:val="both"/>
        <w:rPr>
          <w:rFonts w:cs="Arial"/>
        </w:rPr>
      </w:pPr>
      <w:r w:rsidRPr="00D168C3">
        <w:rPr>
          <w:rFonts w:cs="Arial"/>
        </w:rPr>
        <w:t>Zu Nummer</w:t>
      </w:r>
      <w:r w:rsidR="00973390" w:rsidRPr="00D168C3">
        <w:rPr>
          <w:rFonts w:cs="Arial"/>
        </w:rPr>
        <w:t xml:space="preserve"> </w:t>
      </w:r>
      <w:r w:rsidR="0023454B" w:rsidRPr="00D168C3">
        <w:rPr>
          <w:rFonts w:cs="Arial"/>
        </w:rPr>
        <w:t>2</w:t>
      </w:r>
      <w:r w:rsidR="001901D6" w:rsidRPr="00D168C3">
        <w:rPr>
          <w:rFonts w:cs="Arial"/>
        </w:rPr>
        <w:t xml:space="preserve"> Buchstabe a</w:t>
      </w:r>
      <w:r w:rsidRPr="00D168C3">
        <w:rPr>
          <w:rFonts w:cs="Arial"/>
        </w:rPr>
        <w:t>:</w:t>
      </w:r>
    </w:p>
    <w:p w14:paraId="2E4BB8C5" w14:textId="258B2035" w:rsidR="005F0BC9" w:rsidRPr="00D168C3" w:rsidRDefault="005F0BC9" w:rsidP="00AF188C">
      <w:pPr>
        <w:spacing w:after="0"/>
        <w:jc w:val="both"/>
        <w:rPr>
          <w:rFonts w:cs="Arial"/>
        </w:rPr>
      </w:pPr>
      <w:r w:rsidRPr="00D168C3">
        <w:rPr>
          <w:rFonts w:cs="Arial"/>
        </w:rPr>
        <w:t>Durch die Klarstellung, dass es sich bei Stellvertretungen von Mitgliedern der Planungsbeteiligtenrunde um Abwesenheitsvertretungen handelt, sinkt der Erfüllungsaufwand, da die Zahl der an den Sitzungen teilnehmenden Personen nur auf das unbedingt erforderliche Maß begrenzt wird. Hierdurch sinkt der Abstimmungsbedarf des für Gesundheit zuständigen Ministeriums mit den Planungsbeteiligten und für die Planungsbeteiligten wird der Aufwand zur Teilnahme an Sitzungen reduziert.</w:t>
      </w:r>
    </w:p>
    <w:p w14:paraId="655F5CC8" w14:textId="0450B5E4" w:rsidR="005F0BC9" w:rsidRPr="00D168C3" w:rsidRDefault="005F0BC9" w:rsidP="00AF188C">
      <w:pPr>
        <w:spacing w:after="0"/>
        <w:jc w:val="both"/>
        <w:rPr>
          <w:rFonts w:cs="Arial"/>
        </w:rPr>
      </w:pPr>
    </w:p>
    <w:p w14:paraId="275EAEF7" w14:textId="79DCE12A" w:rsidR="005F0BC9" w:rsidRPr="00D168C3" w:rsidRDefault="005F0BC9" w:rsidP="00AF188C">
      <w:pPr>
        <w:spacing w:after="0"/>
        <w:jc w:val="both"/>
        <w:rPr>
          <w:rFonts w:cs="Arial"/>
        </w:rPr>
      </w:pPr>
      <w:r w:rsidRPr="00D168C3">
        <w:rPr>
          <w:rFonts w:cs="Arial"/>
        </w:rPr>
        <w:t xml:space="preserve">Zu Nummer </w:t>
      </w:r>
      <w:r w:rsidR="0023454B" w:rsidRPr="00D168C3">
        <w:rPr>
          <w:rFonts w:cs="Arial"/>
        </w:rPr>
        <w:t>2</w:t>
      </w:r>
      <w:r w:rsidR="001901D6" w:rsidRPr="00D168C3">
        <w:rPr>
          <w:rFonts w:cs="Arial"/>
        </w:rPr>
        <w:t xml:space="preserve"> Buchstabe b:</w:t>
      </w:r>
    </w:p>
    <w:p w14:paraId="527C928F" w14:textId="221637B6" w:rsidR="00973390" w:rsidRPr="00D168C3" w:rsidRDefault="005F0BC9" w:rsidP="00AF188C">
      <w:pPr>
        <w:spacing w:after="0"/>
        <w:jc w:val="both"/>
        <w:rPr>
          <w:rFonts w:cs="Arial"/>
        </w:rPr>
      </w:pPr>
      <w:r w:rsidRPr="00D168C3">
        <w:rPr>
          <w:rFonts w:cs="Arial"/>
        </w:rPr>
        <w:t>Es ist nachweisbar, dass die bisherigen Regelungen zum Erlass oder Änderung der Geschäftsordnung mit einem unverhältnismäßig hohem Verwaltungsaufwand verbunden sind und trotzdem nicht zu Ergebnissen führen. Um den Verwaltungsaufwand deutlich zu reduzieren und Ressourcen für eine Befassung mit inhaltlichen Themen frei zu machen, erfolgt eine klarstellende Regelung, die dem für Gesundheit zuständigen Ministerium die Regelungskompetenz für die Geschäftsordnung der Planungsbeteiligtenrunde gibt. Dies ist auch kohärent mit geltendem Bundesrecht, wonach das für Gesundheit zuständige Ministerium als Krankenhausplanungsbehörde die Herrin des Verfahrens über die Krankenhausplanung ist.</w:t>
      </w:r>
    </w:p>
    <w:p w14:paraId="3AFCAD40" w14:textId="0A8F4406" w:rsidR="005F0BC9" w:rsidRPr="00D168C3" w:rsidRDefault="005F0BC9" w:rsidP="00AF188C">
      <w:pPr>
        <w:spacing w:after="0"/>
        <w:jc w:val="both"/>
        <w:rPr>
          <w:rFonts w:cs="Arial"/>
        </w:rPr>
      </w:pPr>
    </w:p>
    <w:p w14:paraId="28B344E1" w14:textId="77777777" w:rsidR="005F0BC9" w:rsidRPr="00D168C3" w:rsidRDefault="005F0BC9" w:rsidP="00AF188C">
      <w:pPr>
        <w:pStyle w:val="Listenabsatz"/>
        <w:numPr>
          <w:ilvl w:val="0"/>
          <w:numId w:val="7"/>
        </w:numPr>
        <w:jc w:val="both"/>
        <w:rPr>
          <w:rFonts w:cs="Arial"/>
          <w:b/>
          <w:bCs/>
        </w:rPr>
      </w:pPr>
    </w:p>
    <w:p w14:paraId="748BAC54" w14:textId="3BB099E7" w:rsidR="000B041C" w:rsidRPr="00D168C3" w:rsidRDefault="000B56AA" w:rsidP="00AF188C">
      <w:pPr>
        <w:spacing w:after="0"/>
        <w:jc w:val="both"/>
        <w:rPr>
          <w:rFonts w:cs="Arial"/>
        </w:rPr>
      </w:pPr>
      <w:r w:rsidRPr="00D168C3">
        <w:rPr>
          <w:rFonts w:cs="Arial"/>
        </w:rPr>
        <w:lastRenderedPageBreak/>
        <w:t>Die im Jahr 2015 eingeführte Verpflichtung, die Regelungen des Seniorenmitwirkungsgesetzes im Abstand von fünf Jahren zu evaluieren, hatte das Ziel, die Wirksamkeit des Gesetzes systematisch zu überprüfen und seine Weiterentwicklung zu begleiten. Diese Evaluationsklausel hat ihren Zweck erfüllt. Auf ihrer Grundlage wurden die Auswirkungen des Gesetzes mehrfach überprüft und dem Landtag berichtet, zuletzt im Mai 2023 (Drs. 8/2125).</w:t>
      </w:r>
    </w:p>
    <w:p w14:paraId="5F72F164" w14:textId="616D1FBE" w:rsidR="000B56AA" w:rsidRPr="00D168C3" w:rsidRDefault="000B56AA" w:rsidP="00AF188C">
      <w:pPr>
        <w:jc w:val="both"/>
        <w:rPr>
          <w:rFonts w:cs="Arial"/>
        </w:rPr>
      </w:pPr>
      <w:r w:rsidRPr="00D168C3">
        <w:rPr>
          <w:rFonts w:cs="Arial"/>
        </w:rPr>
        <w:t>Die bisherigen Evaluierungen haben bestätigt, dass das Seniorenmitwirkungsgesetz geeignet ist, die Mitwirkungsrechte der Seniorinnen und Senioren, insbesondere über den Landesseniorenbeirat, wirksam zu stärken. Strukturelle Defizite oder grundlegender gesetzgeberischer Anpassungsbedarf wurden nicht festgestellt. Vielmehr hat sich das Gesetz als dauerhaft tragfähiger Rahmen für die seniorenpolitische Beteiligung etabliert.</w:t>
      </w:r>
      <w:r w:rsidR="000B041C" w:rsidRPr="00D168C3">
        <w:rPr>
          <w:rFonts w:cs="Arial"/>
        </w:rPr>
        <w:t xml:space="preserve"> </w:t>
      </w:r>
      <w:r w:rsidRPr="00D168C3">
        <w:rPr>
          <w:rFonts w:cs="Arial"/>
        </w:rPr>
        <w:t>Evaluierungsklauseln sind regelmäßig bei neuen, befristeten oder experimentellen Regelungen sachgerecht, bei denen noch keine belastbaren Erfahrungen vorliegen. Nach nunmehr mehrjähriger Anwendung und wiederholter Überprüfung besteht kein Anlass mehr, eine gesetzlich verpflichtende periodische Evaluation vorzuschreiben.</w:t>
      </w:r>
      <w:r w:rsidR="000B041C" w:rsidRPr="00D168C3">
        <w:rPr>
          <w:rFonts w:cs="Arial"/>
        </w:rPr>
        <w:t xml:space="preserve"> </w:t>
      </w:r>
      <w:r w:rsidRPr="00D168C3">
        <w:rPr>
          <w:rFonts w:cs="Arial"/>
        </w:rPr>
        <w:t xml:space="preserve">Die Durchführung einer formalen Evaluation im Fünfjahresrhythmus erfordert einen strukturierten Erhebungs-, Analyse- und Berichtsprozess </w:t>
      </w:r>
      <w:r w:rsidR="000B041C" w:rsidRPr="00D168C3">
        <w:rPr>
          <w:rFonts w:cs="Arial"/>
        </w:rPr>
        <w:t>mit entsprechendem personellem und organisatorischem Aufwand</w:t>
      </w:r>
      <w:r w:rsidRPr="00D168C3">
        <w:rPr>
          <w:rFonts w:cs="Arial"/>
        </w:rPr>
        <w:t>. Angesichts der kontinuierlichen fachlichen Begleitung seniorenpolitischer Entwicklungen durch die Landesregierung in enger Abstimmung mit dem Landesseniorenbeirat und weiteren Akteuren steht dieser formalisierte Aufwand nicht mehr in einem angemessenen Verhältnis zu einem zu erwartenden zusätzlichen Erkenntnisgewinn.</w:t>
      </w:r>
      <w:r w:rsidR="000B041C" w:rsidRPr="00D168C3">
        <w:rPr>
          <w:rFonts w:cs="Arial"/>
        </w:rPr>
        <w:t xml:space="preserve"> </w:t>
      </w:r>
      <w:r w:rsidRPr="00D168C3">
        <w:rPr>
          <w:rFonts w:cs="Arial"/>
        </w:rPr>
        <w:t>Die parlamentarischen Informations- und Kontrollrechte bleiben unberührt. Der Landtag kann jederzeit Berichte anfordern oder eine Evaluation initiieren, sofern hierfür Anlass besteht.</w:t>
      </w:r>
      <w:r w:rsidR="000B041C" w:rsidRPr="00D168C3">
        <w:rPr>
          <w:rFonts w:cs="Arial"/>
        </w:rPr>
        <w:t xml:space="preserve"> </w:t>
      </w:r>
      <w:r w:rsidRPr="00D168C3">
        <w:rPr>
          <w:rFonts w:cs="Arial"/>
        </w:rPr>
        <w:t>Die Streichung der Evaluierungsklausel dient daher der Reduzierung entbehrlichen Verwaltungsaufwands, ohne die Transparenz oder die Weiterentwicklung des Gesetzes zu beeinträchtigen.</w:t>
      </w:r>
    </w:p>
    <w:p w14:paraId="158721CE" w14:textId="77777777" w:rsidR="005F0BC9" w:rsidRPr="00D168C3" w:rsidRDefault="005F0BC9" w:rsidP="00AF188C">
      <w:pPr>
        <w:pStyle w:val="Listenabsatz"/>
        <w:numPr>
          <w:ilvl w:val="0"/>
          <w:numId w:val="7"/>
        </w:numPr>
        <w:jc w:val="both"/>
        <w:rPr>
          <w:rFonts w:cs="Arial"/>
          <w:b/>
          <w:bCs/>
        </w:rPr>
      </w:pPr>
    </w:p>
    <w:p w14:paraId="27858B8C" w14:textId="5022F121" w:rsidR="007F62EC" w:rsidRPr="00D168C3" w:rsidRDefault="007F62EC" w:rsidP="00AF188C">
      <w:pPr>
        <w:spacing w:after="0"/>
        <w:jc w:val="both"/>
        <w:rPr>
          <w:rFonts w:cs="Arial"/>
        </w:rPr>
      </w:pPr>
      <w:r w:rsidRPr="00D168C3">
        <w:rPr>
          <w:rFonts w:cs="Arial"/>
        </w:rPr>
        <w:t xml:space="preserve">Zu </w:t>
      </w:r>
      <w:r w:rsidR="00DA7B45" w:rsidRPr="00D168C3">
        <w:rPr>
          <w:rFonts w:cs="Arial"/>
        </w:rPr>
        <w:t>Nummer</w:t>
      </w:r>
      <w:r w:rsidRPr="00D168C3">
        <w:rPr>
          <w:rFonts w:cs="Arial"/>
        </w:rPr>
        <w:t xml:space="preserve"> 1:</w:t>
      </w:r>
    </w:p>
    <w:p w14:paraId="3F1FFB83" w14:textId="1B23D83C" w:rsidR="007F62EC" w:rsidRPr="00D168C3" w:rsidRDefault="007F62EC" w:rsidP="00AF188C">
      <w:pPr>
        <w:spacing w:after="0"/>
        <w:jc w:val="both"/>
        <w:rPr>
          <w:rFonts w:cs="Arial"/>
        </w:rPr>
      </w:pPr>
      <w:r w:rsidRPr="00D168C3">
        <w:rPr>
          <w:rFonts w:cs="Arial"/>
        </w:rPr>
        <w:t>§ 8 Absatz 1 Satz 1 wird zunächst auf wesentliche praktische Anwendungsbereiche in der Kinder- und Jugendhilfe – Maßnahmen der Kinder- und Jugenderholung, der internationalen Jugendarbeit sowie für Seminare der Jugendbildung und für Aus- und Fortbildungslehrgänge – reduziert. „Ferienlagern“ sowie „Kinderbetreuung bei Familienfreizeiten“ kommt daneben keine selbstständige Bedeutung mehr zu. Die Änderung trägt daher zur Rechtsklarheit sowie zur Vereinfachung dahinterstehender Verwaltungsverfahren bei der Bewilligungsbehörde bei.</w:t>
      </w:r>
    </w:p>
    <w:p w14:paraId="1803724B" w14:textId="77777777" w:rsidR="007F62EC" w:rsidRPr="00D168C3" w:rsidRDefault="007F62EC" w:rsidP="00AF188C">
      <w:pPr>
        <w:spacing w:after="0"/>
        <w:jc w:val="both"/>
        <w:rPr>
          <w:rFonts w:cs="Arial"/>
        </w:rPr>
      </w:pPr>
    </w:p>
    <w:p w14:paraId="3A352885" w14:textId="0E4AE84D" w:rsidR="007F62EC" w:rsidRPr="00D168C3" w:rsidRDefault="007F62EC" w:rsidP="00AF188C">
      <w:pPr>
        <w:spacing w:after="0"/>
        <w:jc w:val="both"/>
        <w:rPr>
          <w:rFonts w:cs="Arial"/>
        </w:rPr>
      </w:pPr>
      <w:r w:rsidRPr="00D168C3">
        <w:rPr>
          <w:rFonts w:cs="Arial"/>
        </w:rPr>
        <w:t xml:space="preserve">Zu </w:t>
      </w:r>
      <w:r w:rsidR="00DA7B45" w:rsidRPr="00D168C3">
        <w:rPr>
          <w:rFonts w:cs="Arial"/>
        </w:rPr>
        <w:t>Nummer</w:t>
      </w:r>
      <w:r w:rsidRPr="00D168C3">
        <w:rPr>
          <w:rFonts w:cs="Arial"/>
        </w:rPr>
        <w:t xml:space="preserve"> 2:</w:t>
      </w:r>
    </w:p>
    <w:p w14:paraId="43119619" w14:textId="77777777" w:rsidR="007F62EC" w:rsidRPr="00D168C3" w:rsidRDefault="007F62EC" w:rsidP="00AF188C">
      <w:pPr>
        <w:spacing w:after="0"/>
        <w:jc w:val="both"/>
        <w:rPr>
          <w:rFonts w:cs="Arial"/>
          <w:bCs/>
        </w:rPr>
      </w:pPr>
      <w:r w:rsidRPr="00D168C3">
        <w:rPr>
          <w:rFonts w:cs="Arial"/>
          <w:bCs/>
        </w:rPr>
        <w:t xml:space="preserve">Die Änderung in § 8 Absatz 5 Satz 2 stellt im Rahmen der gesetzlichen Anpassung die wesentlichste Änderung dar. Förderungen unterliegen in wirtschaftlicher und rechtlicher Hinsicht abhängig von tatsächlichen Bedarfen der Adressatinnen und Adressaten einem fortlaufenden Wandel, sodass oftmals kurzfristige und flexible Änderungen in dem dahinterstehenden Normgefüge notwendig sind. </w:t>
      </w:r>
    </w:p>
    <w:p w14:paraId="0E5BE8D6" w14:textId="14B814E7" w:rsidR="007F62EC" w:rsidRPr="00D168C3" w:rsidRDefault="007F62EC" w:rsidP="00AF188C">
      <w:pPr>
        <w:spacing w:after="0"/>
        <w:jc w:val="both"/>
        <w:rPr>
          <w:rFonts w:cs="Arial"/>
          <w:bCs/>
        </w:rPr>
      </w:pPr>
      <w:r w:rsidRPr="00D168C3">
        <w:rPr>
          <w:rFonts w:cs="Arial"/>
          <w:bCs/>
        </w:rPr>
        <w:t>Die gegenständliche Verordnungsermächtigung sieht bisher eine Landesverordnung vor, obwohl durch deren Inhalte ausschließlich Belange der Kinder- und Jugendhilfe in der Zuständigkeit des für Jugend zuständigen Ministerium betroffen sind. Im Sinne der Verwaltungsvereinfachung soll die Verordnung – nunmehr als Ministerverordnung – daher flexibleren Änderungen zugänglich sein.</w:t>
      </w:r>
    </w:p>
    <w:p w14:paraId="7506A7E6" w14:textId="1B64156C" w:rsidR="007F62EC" w:rsidRPr="00D168C3" w:rsidRDefault="007F62EC" w:rsidP="00AF188C">
      <w:pPr>
        <w:spacing w:after="0"/>
        <w:jc w:val="both"/>
        <w:rPr>
          <w:rFonts w:cs="Arial"/>
          <w:bCs/>
        </w:rPr>
      </w:pPr>
    </w:p>
    <w:p w14:paraId="17C74D9B" w14:textId="77777777" w:rsidR="007F62EC" w:rsidRPr="00D168C3" w:rsidRDefault="007F62EC" w:rsidP="00AF188C">
      <w:pPr>
        <w:pStyle w:val="Listenabsatz"/>
        <w:numPr>
          <w:ilvl w:val="0"/>
          <w:numId w:val="7"/>
        </w:numPr>
        <w:jc w:val="both"/>
        <w:rPr>
          <w:rFonts w:cs="Arial"/>
          <w:b/>
          <w:bCs/>
        </w:rPr>
      </w:pPr>
    </w:p>
    <w:p w14:paraId="6996953E" w14:textId="0C5D4320" w:rsidR="007F62EC" w:rsidRPr="00D168C3" w:rsidRDefault="00DA7B45" w:rsidP="00AF188C">
      <w:pPr>
        <w:spacing w:after="0"/>
        <w:jc w:val="both"/>
        <w:rPr>
          <w:rFonts w:cs="Arial"/>
          <w:bCs/>
        </w:rPr>
      </w:pPr>
      <w:r w:rsidRPr="00D168C3">
        <w:rPr>
          <w:rFonts w:cs="Arial"/>
          <w:bCs/>
        </w:rPr>
        <w:t>Zu Nummer 1:</w:t>
      </w:r>
    </w:p>
    <w:p w14:paraId="51BEF9C1" w14:textId="32390B31" w:rsidR="00DA7B45" w:rsidRPr="00D168C3" w:rsidRDefault="00DA7B45" w:rsidP="00AF188C">
      <w:pPr>
        <w:spacing w:after="0"/>
        <w:jc w:val="both"/>
        <w:rPr>
          <w:rFonts w:cs="Arial"/>
          <w:bCs/>
        </w:rPr>
      </w:pPr>
      <w:r w:rsidRPr="00D168C3">
        <w:rPr>
          <w:rFonts w:cs="Arial"/>
          <w:bCs/>
        </w:rPr>
        <w:t>Personen die im Bereich Soziale Arbeit / Sozialpädagogik sowie Kindheitspädagogik tätig werden, arbeiten in einem hochsensiblen Bereich mit zum Großteil schutzbedürftigen Personenkreisen, welche Unstimmigkeiten häufig nicht selbst äußern können. Schutzbedürftige Personenkreise sind bestmöglich vor fachlich nicht geeigneten Personen zu schützen. Die Anwendung der Genehmigungsfiktion des § 42a Absatz 1 VwVfG M-V ist vor diesem Hintergrund für Verfahren zur staatlichen Anerkennung von in Mecklenburg-Vorpommern erworbenen Berufsqualifikationen auszuschließen.</w:t>
      </w:r>
    </w:p>
    <w:p w14:paraId="516F27BA" w14:textId="3053DBA5" w:rsidR="00DA7B45" w:rsidRPr="00D168C3" w:rsidRDefault="00DA7B45" w:rsidP="00AF188C">
      <w:pPr>
        <w:spacing w:after="0"/>
        <w:jc w:val="both"/>
        <w:rPr>
          <w:rFonts w:cs="Arial"/>
          <w:bCs/>
        </w:rPr>
      </w:pPr>
    </w:p>
    <w:p w14:paraId="786B8492" w14:textId="4FC9D098" w:rsidR="00DA7B45" w:rsidRPr="00D168C3" w:rsidRDefault="00DA7B45" w:rsidP="00AF188C">
      <w:pPr>
        <w:spacing w:after="0"/>
        <w:jc w:val="both"/>
        <w:rPr>
          <w:rFonts w:cs="Arial"/>
          <w:bCs/>
        </w:rPr>
      </w:pPr>
      <w:r w:rsidRPr="00D168C3">
        <w:rPr>
          <w:rFonts w:cs="Arial"/>
          <w:bCs/>
        </w:rPr>
        <w:t>Zu Nummer 2:</w:t>
      </w:r>
    </w:p>
    <w:p w14:paraId="1C1E10F3" w14:textId="0CECEDCD" w:rsidR="00DA7B45" w:rsidRPr="00D168C3" w:rsidRDefault="00DA7B45" w:rsidP="00AF188C">
      <w:pPr>
        <w:spacing w:after="0"/>
        <w:jc w:val="both"/>
        <w:rPr>
          <w:rFonts w:cs="Arial"/>
          <w:bCs/>
        </w:rPr>
      </w:pPr>
      <w:r w:rsidRPr="00D168C3">
        <w:rPr>
          <w:rFonts w:cs="Arial"/>
          <w:bCs/>
        </w:rPr>
        <w:t>Personen die im Bereich Soziale Arbeit / Sozialpädagogik sowie Kindheitspädagogik tätig werden, arbeiten in einem hochsensiblen Bereich mit zum Großteil schutzbedürftigen Personenkreisen, welche Unstimmigkeiten häufig nicht selbst äußern können. Schutzbedürftige Personenkreise sind bestmöglich vor fachlich nicht geeigneten Personen zu schützen. Die Anwendung der Genehmigungsfiktion des § 42a Absatz 1 VwVfG M-V ist vor diesem Hintergrund für Verfahren zur staatlichen Anerkennung von im Ausland erworbenen Abschlüssen auszuschließen.</w:t>
      </w:r>
    </w:p>
    <w:p w14:paraId="67801634" w14:textId="77777777" w:rsidR="005F0BC9" w:rsidRPr="00D168C3" w:rsidRDefault="005F0BC9" w:rsidP="00AF188C">
      <w:pPr>
        <w:spacing w:after="0"/>
        <w:jc w:val="both"/>
        <w:rPr>
          <w:rFonts w:cs="Arial"/>
        </w:rPr>
      </w:pPr>
    </w:p>
    <w:p w14:paraId="0FF1F9A4" w14:textId="77777777" w:rsidR="00DA7B45" w:rsidRPr="00D168C3" w:rsidRDefault="00DA7B45" w:rsidP="00AF188C">
      <w:pPr>
        <w:pStyle w:val="Listenabsatz"/>
        <w:numPr>
          <w:ilvl w:val="0"/>
          <w:numId w:val="7"/>
        </w:numPr>
        <w:jc w:val="both"/>
        <w:rPr>
          <w:rFonts w:cs="Arial"/>
          <w:b/>
          <w:bCs/>
        </w:rPr>
      </w:pPr>
    </w:p>
    <w:p w14:paraId="38E39F8B" w14:textId="77777777" w:rsidR="00973390" w:rsidRPr="00D168C3" w:rsidRDefault="00973390" w:rsidP="00AF188C">
      <w:pPr>
        <w:spacing w:after="0"/>
        <w:jc w:val="both"/>
        <w:rPr>
          <w:rFonts w:cs="Arial"/>
        </w:rPr>
      </w:pPr>
      <w:r w:rsidRPr="005A2A9B">
        <w:rPr>
          <w:rFonts w:cs="Arial"/>
        </w:rPr>
        <w:t>Zu Nummer 1:</w:t>
      </w:r>
    </w:p>
    <w:p w14:paraId="411EF88E" w14:textId="65932DFD" w:rsidR="0054039D" w:rsidRPr="00D168C3" w:rsidRDefault="0054039D" w:rsidP="00AF188C">
      <w:pPr>
        <w:spacing w:after="0"/>
        <w:jc w:val="both"/>
        <w:rPr>
          <w:rFonts w:cs="Arial"/>
        </w:rPr>
      </w:pPr>
      <w:r w:rsidRPr="00D168C3">
        <w:rPr>
          <w:rFonts w:cs="Arial"/>
        </w:rPr>
        <w:t>Für die Anerkennung als Betreuungsverein findet die Genehmigungsfiktion (§ 42a VwVfG M-V) keine Anwendung.</w:t>
      </w:r>
    </w:p>
    <w:p w14:paraId="0CC9682C" w14:textId="0C15D45B" w:rsidR="0054039D" w:rsidRPr="00D168C3" w:rsidRDefault="0054039D" w:rsidP="00AF188C">
      <w:pPr>
        <w:spacing w:after="0"/>
        <w:jc w:val="both"/>
        <w:rPr>
          <w:rFonts w:cs="Arial"/>
        </w:rPr>
      </w:pPr>
      <w:r w:rsidRPr="00D168C3">
        <w:rPr>
          <w:rFonts w:cs="Arial"/>
        </w:rPr>
        <w:t xml:space="preserve">Betreuungsvereine sind integraler Bestandteil der staatlichen Infrastruktur zum Schutz betreuungsbedürftiger Menschen. Die rechtliche Betreuung dient der Unterstützung von Personen, die ihre Angelegenheiten aufgrund Krankheit oder Behinderung ganz oder teilweise nicht selbst besorgen können. Der Staat trägt insoweit eine besondere Schutzverantwortung. Diese ergibt sich aus der Menschenwürdegarantie des Art. 1 </w:t>
      </w:r>
      <w:r w:rsidR="001E1039">
        <w:rPr>
          <w:rFonts w:cs="Arial"/>
        </w:rPr>
        <w:t xml:space="preserve">Absatz </w:t>
      </w:r>
      <w:r w:rsidRPr="00D168C3">
        <w:rPr>
          <w:rFonts w:cs="Arial"/>
        </w:rPr>
        <w:t xml:space="preserve">1 GG in Verbindung mit dem Recht auf freie Entfaltung der Persönlichkeit (Art. 2 </w:t>
      </w:r>
      <w:r w:rsidR="001E1039">
        <w:rPr>
          <w:rFonts w:cs="Arial"/>
        </w:rPr>
        <w:t xml:space="preserve">Absatz </w:t>
      </w:r>
      <w:r w:rsidRPr="00D168C3">
        <w:rPr>
          <w:rFonts w:cs="Arial"/>
        </w:rPr>
        <w:t xml:space="preserve">1 GG) sowie dem Schutz von Leben und körperlicher Unversehrtheit (Art. 2 </w:t>
      </w:r>
      <w:r w:rsidR="001E1039">
        <w:rPr>
          <w:rFonts w:cs="Arial"/>
        </w:rPr>
        <w:t xml:space="preserve">Absatz </w:t>
      </w:r>
      <w:r w:rsidRPr="00D168C3">
        <w:rPr>
          <w:rFonts w:cs="Arial"/>
        </w:rPr>
        <w:t>2 GG).</w:t>
      </w:r>
    </w:p>
    <w:p w14:paraId="216FB014" w14:textId="0510F85C" w:rsidR="0054039D" w:rsidRPr="00D168C3" w:rsidRDefault="0054039D" w:rsidP="00AF188C">
      <w:pPr>
        <w:spacing w:after="0"/>
        <w:jc w:val="both"/>
        <w:rPr>
          <w:rFonts w:cs="Arial"/>
        </w:rPr>
      </w:pPr>
      <w:r w:rsidRPr="00D168C3">
        <w:rPr>
          <w:rFonts w:cs="Arial"/>
        </w:rPr>
        <w:t>Die Anerkennung als Betreuungsverein verleiht dem Träger eine qualifizierte Stellung im System des Erwachsenenschutzes. Sie ist mit der Erwartung verbunden, dass die betreuten Personen sachgerecht beraten und unterstützt werden und dass ehrenamtliche Betreuerinnen und Betreuer fachlich qualifiziert begleitet werden. Die Entscheidung über die Anerkennung ist daher keine bloße verwaltungsorganisatorische Maßnahme, sondern Teil der staatlichen Gewährleistungsverantwortung für den Schutz besonders vulnerabler Personen.</w:t>
      </w:r>
    </w:p>
    <w:p w14:paraId="4A5D1F86" w14:textId="77149D36" w:rsidR="0054039D" w:rsidRPr="00D168C3" w:rsidRDefault="0054039D" w:rsidP="00AF188C">
      <w:pPr>
        <w:spacing w:after="0"/>
        <w:jc w:val="both"/>
        <w:rPr>
          <w:rFonts w:cs="Arial"/>
        </w:rPr>
      </w:pPr>
      <w:r w:rsidRPr="00D168C3">
        <w:rPr>
          <w:rFonts w:cs="Arial"/>
        </w:rPr>
        <w:t>Die Anerkennung setzt eine umfassende Prüfung der fachlichen, personellen und organisatorischen Eignung voraus. Insbesondere sind die Qualifikation der Leitung, die fachliche Kompetenz des eingesetzten Personals, die Sicherstellung kontinuierlicher Fortbildung sowie tragfähige organisatorische Strukturen zu bewerten. Diese materiell-rechtliche Prüfung kann nicht durch den bloßen Ablauf einer Frist ersetzt werden.</w:t>
      </w:r>
    </w:p>
    <w:p w14:paraId="1BA5616D" w14:textId="6CE01EDE" w:rsidR="0054039D" w:rsidRPr="00D168C3" w:rsidRDefault="0054039D" w:rsidP="00AF188C">
      <w:pPr>
        <w:spacing w:after="0"/>
        <w:jc w:val="both"/>
        <w:rPr>
          <w:rFonts w:cs="Arial"/>
        </w:rPr>
      </w:pPr>
      <w:r w:rsidRPr="00D168C3">
        <w:rPr>
          <w:rFonts w:cs="Arial"/>
        </w:rPr>
        <w:t>Eine Genehmigungsfiktion würde dazu führen, dass eine Anerkennung allein kraft Fristablaufs eintritt, ohne dass die gesetzlichen Voraussetzungen positiv festgestellt wurden. Dies würde die Schutz- und Kontrollfunktion des Staates im Bereich des Erwachsenenschutzes unterlaufen und dem verfassungsrechtlichen Schutzauftrag nicht gerecht werden.</w:t>
      </w:r>
    </w:p>
    <w:p w14:paraId="702E9B28" w14:textId="6D0D2D65" w:rsidR="0054039D" w:rsidRPr="00D168C3" w:rsidRDefault="0054039D" w:rsidP="00AF188C">
      <w:pPr>
        <w:spacing w:after="0"/>
        <w:jc w:val="both"/>
        <w:rPr>
          <w:rFonts w:cs="Arial"/>
        </w:rPr>
      </w:pPr>
      <w:r w:rsidRPr="00D168C3">
        <w:rPr>
          <w:rFonts w:cs="Arial"/>
        </w:rPr>
        <w:t xml:space="preserve">Zudem begründet die Anerkennung einen Anspruch auf finanzielle Unterstützung aus Landesmitteln. Der Staat ist verpflichtet, öffentliche Mittel verantwortungsvoll und </w:t>
      </w:r>
      <w:r w:rsidRPr="00D168C3">
        <w:rPr>
          <w:rFonts w:cs="Arial"/>
        </w:rPr>
        <w:lastRenderedPageBreak/>
        <w:t>zweckgerichtet einzusetzen. Auch insoweit darf eine statusbegründende Entscheidung nicht ohne inhaltliche Prüfung wirksam werden.</w:t>
      </w:r>
    </w:p>
    <w:p w14:paraId="58C872A1" w14:textId="470352FA" w:rsidR="002D30B0" w:rsidRPr="00D168C3" w:rsidRDefault="0054039D" w:rsidP="00AF188C">
      <w:pPr>
        <w:spacing w:after="0"/>
        <w:jc w:val="both"/>
        <w:rPr>
          <w:rFonts w:cs="Arial"/>
        </w:rPr>
      </w:pPr>
      <w:r w:rsidRPr="00D168C3">
        <w:rPr>
          <w:rFonts w:cs="Arial"/>
        </w:rPr>
        <w:t>Der Ausschluss der Genehmigungsfiktion stellt sicher, dass die Anerkennung als Betreuungsverein ausschließlich nach vollständiger und sorgfältiger Prüfung erfolgt und die verfassungsrechtlich gebotene Schutzverantwortung gegenüber betreuungsbedürftigen Menschen gewahrt bleibt.</w:t>
      </w:r>
    </w:p>
    <w:p w14:paraId="0A89F260" w14:textId="3D3B1144" w:rsidR="00DA7B45" w:rsidRPr="00D168C3" w:rsidRDefault="00DA7B45" w:rsidP="00AF188C">
      <w:pPr>
        <w:spacing w:after="0"/>
        <w:jc w:val="both"/>
        <w:rPr>
          <w:rFonts w:cs="Arial"/>
        </w:rPr>
      </w:pPr>
    </w:p>
    <w:p w14:paraId="1E123B11" w14:textId="42022B46" w:rsidR="00973390" w:rsidRPr="00D168C3" w:rsidRDefault="00973390" w:rsidP="00AF188C">
      <w:pPr>
        <w:spacing w:after="0"/>
        <w:jc w:val="both"/>
        <w:rPr>
          <w:rFonts w:cs="Arial"/>
        </w:rPr>
      </w:pPr>
      <w:r w:rsidRPr="00D168C3">
        <w:rPr>
          <w:rFonts w:cs="Arial"/>
        </w:rPr>
        <w:t>Zu Nummer 2:</w:t>
      </w:r>
    </w:p>
    <w:p w14:paraId="01C147FF" w14:textId="77777777" w:rsidR="00A83880" w:rsidRPr="00D168C3" w:rsidRDefault="00A83880" w:rsidP="00AF188C">
      <w:pPr>
        <w:spacing w:after="0"/>
        <w:jc w:val="both"/>
        <w:rPr>
          <w:rFonts w:cs="Arial"/>
        </w:rPr>
      </w:pPr>
      <w:r w:rsidRPr="00D168C3">
        <w:rPr>
          <w:rFonts w:cs="Arial"/>
        </w:rPr>
        <w:t>Die Registrierung und Anerkennung von Betreuerinnen und Betreuern sowie registrierungsnaher Stellen ist Bestandteil der staatlichen Infrastruktur zum Schutz betreuungsbedürftiger Menschen. Die rechtliche Betreuung dient der Unterstützung von Personen, die ihre Angelegenheiten krankheits- oder behinderungsbedingt ganz oder teilweise nicht selbst besorgen können. Der Staat trägt insoweit eine besondere Schutzverantwortung, die sich aus Art. 1 Absatz 1 GG in Verbindung mit Art. 2 Absatz 1 und 2 GG ergibt. Die Anerkennung nach der Betreuerregistrierungsverordnung ist statusbegründend und eröffnet den Zugang zu einem Tätigkeitsfeld mit unmittelbarer Verantwortung für besonders vulnerable Personen. Sie setzt eine umfassende Prüfung der fachlichen Konzeption, der persönlichen Eignung und Zuverlässigkeit, der Qualifikation der eingesetzten Lehrkräfte sowie der organisatorischen Voraussetzungen voraus. Diese materiell-rechtliche Prüfung ist konstitutiver Bestandteil des präventiv ausgestalteten Schutzkonzepts des Betreuungsrechts. Die Anerkennung eines Sachkundelehrgangs steht dabei nicht isoliert, sondern ist Teil eines gestuften Zulassungssystems (Lehrgang – Sachkundenachweis – Registrierung – Bestellung durch das Betreuungsgericht). Die behördliche Prüfung bildet eine vorgelagerte Qualitätssicherungsstufe innerhalb dieser staatlichen Schutzarchitektur. Eine Genehmigungsfiktion würde dieses präventive Prüfkonzept strukturell unterlaufen, da eine Anerkennung allein kraft Fristablaufs eintreten könnte, ohne dass die gesetzlichen Anforderungen positiv festgestellt worden sind. Zwar fingiert § 42a VwVfG M-V nicht die materielle Rechtmäßigkeit der Entscheidung und lässt grundsätzlich eine nachträgliche Rücknahme zu. Gleichwohl entstünden erhebliche Vertrauensschutz- und Folgewirkungsprobleme. Lehrgangsteilnehmerinnen und -teilnehmer könnten im Vertrauen auf einen als anerkannt geltenden Lehrgang ihre Registrierung als Berufsbetreuer erlangen und auf dieser Grundlage bereits gerichtlich bestellt werden. Eine spätere Rücknahme der Anerkennung wäre faktisch kaum vollständig rückabwickelbar und würde zu erheblichen Rechtsunsicherheiten hinsichtlich der Registrierung sowie der bereits vorgenommenen Betreuerhandlungen führen. Die Anerkennung betrifft zudem nicht nur das Verhältnis zwischen Lehrgangsträger und Verwaltung, sondern entfaltet mittelbare Auswirkungen auf eine Vielzahl Dritter sowie auf den allgemeinen Rechtsverkehr. Angesichts dieser mehrpoligen Schutzwirkungen ist eine gesicherte vorgelagerte Sachprüfung unerlässlich. Soweit mit der Anerkennung darüber hinaus Rechtspositionen oder wirtschaftliche Folgewirkungen verbunden sind, gebietet auch der Grundsatz der Wirtschaftlichkeit und Sparsamkeit eine Entscheidung auf Grundlage einer abgeschlossenen materiellen Prüfung.</w:t>
      </w:r>
    </w:p>
    <w:p w14:paraId="2637E7EB" w14:textId="50846270" w:rsidR="00A83880" w:rsidRPr="00D168C3" w:rsidRDefault="00A83880" w:rsidP="00AF188C">
      <w:pPr>
        <w:jc w:val="both"/>
        <w:rPr>
          <w:rFonts w:cs="Arial"/>
        </w:rPr>
      </w:pPr>
      <w:r w:rsidRPr="00D168C3">
        <w:rPr>
          <w:rFonts w:cs="Arial"/>
        </w:rPr>
        <w:t>Der Ausschluss der Genehmigungsfiktion gewährleistet daher, dass Anerkennungen ausschließlich nach vollständiger inhaltlicher Prüfung erfolgen und die staatliche Schutzverantwortung im Bereich des Erwachsenenschutzes gewahrt bleibt.</w:t>
      </w:r>
    </w:p>
    <w:p w14:paraId="2BC0DE2A" w14:textId="77777777" w:rsidR="00607D23" w:rsidRPr="00D168C3" w:rsidRDefault="00607D23" w:rsidP="00AF188C">
      <w:pPr>
        <w:spacing w:after="0"/>
        <w:jc w:val="both"/>
        <w:rPr>
          <w:rFonts w:cs="Arial"/>
        </w:rPr>
      </w:pPr>
    </w:p>
    <w:p w14:paraId="25D24ABC" w14:textId="77777777" w:rsidR="00607D23" w:rsidRPr="00D168C3" w:rsidRDefault="00607D23" w:rsidP="00AF188C">
      <w:pPr>
        <w:pStyle w:val="Listenabsatz"/>
        <w:numPr>
          <w:ilvl w:val="0"/>
          <w:numId w:val="7"/>
        </w:numPr>
        <w:jc w:val="both"/>
        <w:rPr>
          <w:rFonts w:cs="Arial"/>
          <w:b/>
          <w:bCs/>
        </w:rPr>
      </w:pPr>
    </w:p>
    <w:p w14:paraId="4640AA64" w14:textId="67A5ECB5" w:rsidR="00ED6A5D" w:rsidRPr="00D168C3" w:rsidRDefault="00ED6A5D" w:rsidP="00AF188C">
      <w:pPr>
        <w:spacing w:after="0"/>
        <w:jc w:val="both"/>
        <w:rPr>
          <w:rFonts w:cs="Arial"/>
        </w:rPr>
      </w:pPr>
      <w:r w:rsidRPr="00D168C3">
        <w:rPr>
          <w:rFonts w:cs="Arial"/>
        </w:rPr>
        <w:t>Zu Nummer 1 Buchstabe a:</w:t>
      </w:r>
    </w:p>
    <w:p w14:paraId="39D59F10" w14:textId="77777777" w:rsidR="00ED6A5D" w:rsidRPr="00D168C3" w:rsidRDefault="00ED6A5D" w:rsidP="00AF188C">
      <w:pPr>
        <w:spacing w:after="0"/>
        <w:jc w:val="both"/>
        <w:rPr>
          <w:rFonts w:cs="Arial"/>
        </w:rPr>
      </w:pPr>
      <w:r w:rsidRPr="00D168C3">
        <w:rPr>
          <w:rFonts w:cs="Arial"/>
        </w:rPr>
        <w:lastRenderedPageBreak/>
        <w:t>Klarstellung aufgrund der Regelung in § 3a VwVfG M-V.</w:t>
      </w:r>
    </w:p>
    <w:p w14:paraId="6C2799B5" w14:textId="77777777" w:rsidR="00ED6A5D" w:rsidRPr="00D168C3" w:rsidRDefault="00ED6A5D" w:rsidP="00AF188C">
      <w:pPr>
        <w:spacing w:after="0"/>
        <w:jc w:val="both"/>
        <w:rPr>
          <w:rFonts w:cs="Arial"/>
        </w:rPr>
      </w:pPr>
    </w:p>
    <w:p w14:paraId="45932A37" w14:textId="3CD25375" w:rsidR="00607D23" w:rsidRPr="00D168C3" w:rsidRDefault="00607D23" w:rsidP="00AF188C">
      <w:pPr>
        <w:spacing w:after="0"/>
        <w:jc w:val="both"/>
        <w:rPr>
          <w:rFonts w:cs="Arial"/>
        </w:rPr>
      </w:pPr>
      <w:r w:rsidRPr="005A2A9B">
        <w:rPr>
          <w:rFonts w:cs="Arial"/>
        </w:rPr>
        <w:t xml:space="preserve">Zu Nummer </w:t>
      </w:r>
      <w:r w:rsidR="00ED6A5D" w:rsidRPr="005A2A9B">
        <w:rPr>
          <w:rFonts w:cs="Arial"/>
        </w:rPr>
        <w:t>1 Buchstabe b</w:t>
      </w:r>
      <w:r w:rsidRPr="005A2A9B">
        <w:rPr>
          <w:rFonts w:cs="Arial"/>
        </w:rPr>
        <w:t>:</w:t>
      </w:r>
    </w:p>
    <w:p w14:paraId="38C44D3C" w14:textId="77777777" w:rsidR="00D75A47" w:rsidRPr="00D75A47" w:rsidRDefault="00D75A47" w:rsidP="00D75A47">
      <w:pPr>
        <w:spacing w:after="0"/>
        <w:jc w:val="both"/>
        <w:rPr>
          <w:rFonts w:cs="Arial"/>
        </w:rPr>
      </w:pPr>
      <w:r w:rsidRPr="00D75A47">
        <w:rPr>
          <w:rFonts w:cs="Arial"/>
        </w:rPr>
        <w:t xml:space="preserve">Die Bewilligung der Finanzhilfen erfolgt jeweils durch einen Bescheid, mit dem zugleich nähere Bestimmungen über Einsatz, Verwendung und Nachweis der Mittel getroffen werden können. Es handelt sich um eine haushaltsrechtlich gebundene, inhaltlich ausgestaltende Entscheidung und nicht um eine bloße formale Genehmigung. </w:t>
      </w:r>
    </w:p>
    <w:p w14:paraId="5DD3B6C9" w14:textId="58BEE2E0" w:rsidR="00D75A47" w:rsidRPr="00D75A47" w:rsidRDefault="00D75A47" w:rsidP="00D75A47">
      <w:pPr>
        <w:spacing w:after="0"/>
        <w:jc w:val="both"/>
        <w:rPr>
          <w:rFonts w:cs="Arial"/>
        </w:rPr>
      </w:pPr>
      <w:r w:rsidRPr="00D75A47">
        <w:rPr>
          <w:rFonts w:cs="Arial"/>
        </w:rPr>
        <w:t>Die Gewährung der Finanzhilfen steht unter dem Vorbehalt der im jeweiligen Haushaltsgesetz bereitgestellten Mittel. Nach Art. 87 der Verfassung des Landes Mecklenburg-Vorpommern sowie den Grundsätzen der Landeshaushaltsordnung dürfen Mittel nur auf Grundlage eines wirksamen Haushaltsplans und im Rahmen der dort festgelegten Zweckbindung bewilligt werden. Eine Genehmigungsfiktion würde demgegenüber dazu führen, dass ein Anspruch allein durch Fristablauf entsteht, ohne dass eine haushaltsrechtliche Prüfung und konkrete Mittelbindung erfolgt ist. Dies wäre mit dem Budgetrecht des Landtages und dem Grundsatz der sachgerechten Mittelbewirtschaftung nicht vereinbar.</w:t>
      </w:r>
    </w:p>
    <w:p w14:paraId="1E181B82" w14:textId="77777777" w:rsidR="00D75A47" w:rsidRPr="00D75A47" w:rsidRDefault="00D75A47" w:rsidP="00D75A47">
      <w:pPr>
        <w:spacing w:after="0"/>
        <w:jc w:val="both"/>
        <w:rPr>
          <w:rFonts w:cs="Arial"/>
        </w:rPr>
      </w:pPr>
      <w:r w:rsidRPr="00D75A47">
        <w:rPr>
          <w:rFonts w:cs="Arial"/>
        </w:rPr>
        <w:t>Hinzu kommt, dass die Höhe der zur Verfügung stehenden Mittel im Zeitpunkt der Antragstellung regelmäßig noch nicht abschließend feststeht oder sich nachträglich ändern kann. § 6 Absatz 2 Satz 4 trägt dem durch die Möglichkeit von Folgeanträgen Rechnung. Eine automatische Bewilligung durch Fristablauf würde diese gesetzlich vorgesehene Systematik unterlaufen und könnte zu Über- oder Fehlbindungen von Haushaltsmitteln führen.</w:t>
      </w:r>
    </w:p>
    <w:p w14:paraId="1DE3FF94" w14:textId="353A233F" w:rsidR="00D75A47" w:rsidRPr="00D75A47" w:rsidRDefault="00D75A47" w:rsidP="00D75A47">
      <w:pPr>
        <w:spacing w:after="0"/>
        <w:jc w:val="both"/>
        <w:rPr>
          <w:rFonts w:cs="Arial"/>
        </w:rPr>
      </w:pPr>
      <w:r w:rsidRPr="00D75A47">
        <w:rPr>
          <w:rFonts w:cs="Arial"/>
        </w:rPr>
        <w:t>Die Entscheidung betrifft zudem erhebliche öffentliche Mittel und wirkt sich auf die Finanzierung der Spitzenverbände der Freien Wohlfahrtspflege</w:t>
      </w:r>
      <w:r w:rsidR="00355BF3">
        <w:rPr>
          <w:rFonts w:cs="Arial"/>
        </w:rPr>
        <w:t>.</w:t>
      </w:r>
      <w:r w:rsidRPr="00D75A47">
        <w:rPr>
          <w:rFonts w:cs="Arial"/>
        </w:rPr>
        <w:t xml:space="preserve"> Diese Gewährung der Finanzhilfen setzt eine positive Feststellung der gesetzlichen Voraussetzungen voraus.</w:t>
      </w:r>
    </w:p>
    <w:p w14:paraId="4ED090D4" w14:textId="77777777" w:rsidR="00D75A47" w:rsidRPr="00D75A47" w:rsidRDefault="00D75A47" w:rsidP="00D75A47">
      <w:pPr>
        <w:spacing w:after="0"/>
        <w:jc w:val="both"/>
        <w:rPr>
          <w:rFonts w:cs="Arial"/>
        </w:rPr>
      </w:pPr>
      <w:r w:rsidRPr="00D75A47">
        <w:rPr>
          <w:rFonts w:cs="Arial"/>
        </w:rPr>
        <w:t>Zwar dient die Genehmigungsfiktion grundsätzlich der Verfahrensbeschleunigung. Dieser Aspekt wird aber bei Entscheidungen mit haushaltsrechtlicher Bindung aus systematischen Gründen überlagert. Der Ausschluss der Genehmigungsfiktion stellt sicher, dass die Bewilligung von Finanzhilfen ausschließlich nach positiver Feststellung der gesetzlichen Voraussetzungen erfolgt und das parlamentarische Budgetrecht gewahrt bleibt.</w:t>
      </w:r>
    </w:p>
    <w:p w14:paraId="48962DE9" w14:textId="3250FA78" w:rsidR="00A83880" w:rsidRPr="00D168C3" w:rsidRDefault="00D75A47" w:rsidP="00D75A47">
      <w:pPr>
        <w:spacing w:after="0"/>
        <w:jc w:val="both"/>
        <w:rPr>
          <w:rFonts w:cs="Arial"/>
        </w:rPr>
      </w:pPr>
      <w:r w:rsidRPr="00D75A47">
        <w:rPr>
          <w:rFonts w:cs="Arial"/>
        </w:rPr>
        <w:t>Die Regelung steht damit im Einklang mit dem Ziel des Bürokratieabbaus, da sie lediglich in einem haushalts- und finanzverfassungsrechtlich sensiblen Bereich eine Ausnahme vorsieht, in dem eine automatische Bewilligung kraft Fristablaufs nicht sachgerecht wäre.</w:t>
      </w:r>
    </w:p>
    <w:p w14:paraId="1283C7B9" w14:textId="77777777" w:rsidR="00355BF3" w:rsidRDefault="00355BF3" w:rsidP="00AF188C">
      <w:pPr>
        <w:spacing w:after="0"/>
        <w:jc w:val="both"/>
        <w:rPr>
          <w:rFonts w:cs="Arial"/>
        </w:rPr>
      </w:pPr>
    </w:p>
    <w:p w14:paraId="320A160C" w14:textId="1266F2F8" w:rsidR="00607D23" w:rsidRPr="00D168C3" w:rsidRDefault="00607D23" w:rsidP="00AF188C">
      <w:pPr>
        <w:spacing w:after="0"/>
        <w:jc w:val="both"/>
        <w:rPr>
          <w:rFonts w:cs="Arial"/>
        </w:rPr>
      </w:pPr>
      <w:r w:rsidRPr="00D168C3">
        <w:rPr>
          <w:rFonts w:cs="Arial"/>
        </w:rPr>
        <w:t>Zu Nummer 2 Buchstabe a:</w:t>
      </w:r>
    </w:p>
    <w:p w14:paraId="5A69BF07" w14:textId="5F13CD4D" w:rsidR="00607D23" w:rsidRPr="00D168C3" w:rsidRDefault="00607D23" w:rsidP="00AF188C">
      <w:pPr>
        <w:spacing w:after="0"/>
        <w:jc w:val="both"/>
        <w:rPr>
          <w:rFonts w:cs="Arial"/>
        </w:rPr>
      </w:pPr>
      <w:r w:rsidRPr="00D168C3">
        <w:rPr>
          <w:rFonts w:cs="Arial"/>
        </w:rPr>
        <w:t>Mit der Änderung erfolgt eine Vereinheitlichung der Zuständigkeiten im Rahmen des WoftG M-V (Abschnitt 1) und daraus folgend eine Optimierung der Verfahrensabläufe. Das LAGuS ist bereits für alle anderen Maßnahmen zuständig. Die Überprüfung der Berichte sowie Maßnahmen nach § 7 Absatz 2 WoftG M-V bleiben unberührt.</w:t>
      </w:r>
    </w:p>
    <w:p w14:paraId="15B7F923" w14:textId="0A33289C" w:rsidR="00607D23" w:rsidRPr="00D168C3" w:rsidRDefault="00607D23" w:rsidP="00AF188C">
      <w:pPr>
        <w:spacing w:after="0"/>
        <w:jc w:val="both"/>
        <w:rPr>
          <w:rFonts w:cs="Arial"/>
        </w:rPr>
      </w:pPr>
    </w:p>
    <w:p w14:paraId="70AA318B" w14:textId="2507F52D" w:rsidR="00607D23" w:rsidRPr="00D168C3" w:rsidRDefault="00607D23" w:rsidP="00AF188C">
      <w:pPr>
        <w:spacing w:after="0"/>
        <w:jc w:val="both"/>
        <w:rPr>
          <w:rFonts w:cs="Arial"/>
        </w:rPr>
      </w:pPr>
      <w:r w:rsidRPr="00D168C3">
        <w:rPr>
          <w:rFonts w:cs="Arial"/>
        </w:rPr>
        <w:t>Zu Nummer 2 Buchstabe b:</w:t>
      </w:r>
    </w:p>
    <w:p w14:paraId="445ED6DB" w14:textId="3E9EE958" w:rsidR="00607D23" w:rsidRPr="00D168C3" w:rsidRDefault="00355BF3" w:rsidP="00AF188C">
      <w:pPr>
        <w:spacing w:after="0"/>
        <w:jc w:val="both"/>
        <w:rPr>
          <w:rFonts w:cs="Arial"/>
        </w:rPr>
      </w:pPr>
      <w:r w:rsidRPr="00607D23">
        <w:rPr>
          <w:rFonts w:cs="Arial"/>
        </w:rPr>
        <w:t xml:space="preserve">Mit der Änderung erfolgt eine Anpassung von einer Weiterleitung der </w:t>
      </w:r>
      <w:r w:rsidRPr="009F39B8">
        <w:rPr>
          <w:rFonts w:cs="Arial"/>
        </w:rPr>
        <w:t xml:space="preserve">von den Spitzenverbänden der Freien Wohlfahrtspflege </w:t>
      </w:r>
      <w:r w:rsidRPr="00607D23">
        <w:rPr>
          <w:rFonts w:cs="Arial"/>
        </w:rPr>
        <w:t xml:space="preserve">nach § 7 Absatz 1 Satz 1 WoftG M-V </w:t>
      </w:r>
      <w:r w:rsidRPr="009F39B8">
        <w:rPr>
          <w:rFonts w:cs="Arial"/>
        </w:rPr>
        <w:t xml:space="preserve">der Landesregierung </w:t>
      </w:r>
      <w:r w:rsidRPr="00607D23">
        <w:rPr>
          <w:rFonts w:cs="Arial"/>
        </w:rPr>
        <w:t xml:space="preserve">vorzulegenden </w:t>
      </w:r>
      <w:r w:rsidRPr="009F39B8">
        <w:rPr>
          <w:rFonts w:cs="Arial"/>
        </w:rPr>
        <w:t xml:space="preserve">und von dieser gemäß § 7 Absatz 1 Satz 7 WoftG M-V an den Landtag weiterzuleitenden </w:t>
      </w:r>
      <w:r w:rsidRPr="00607D23">
        <w:rPr>
          <w:rFonts w:cs="Arial"/>
        </w:rPr>
        <w:t>Berichte zu einer nachrichtlichen und damit direkten Vorlage der Berichte durch die Spitzenverbände der Freien Wohlfahrtspflege</w:t>
      </w:r>
      <w:r>
        <w:rPr>
          <w:rFonts w:cs="Arial"/>
        </w:rPr>
        <w:t xml:space="preserve"> an den Landtag</w:t>
      </w:r>
      <w:r w:rsidRPr="00607D23">
        <w:rPr>
          <w:rFonts w:cs="Arial"/>
        </w:rPr>
        <w:t xml:space="preserve">. </w:t>
      </w:r>
      <w:r w:rsidR="00607D23" w:rsidRPr="00D168C3">
        <w:rPr>
          <w:rFonts w:cs="Arial"/>
        </w:rPr>
        <w:t xml:space="preserve">Aufgrund eines Auftrages des Landtages an die Landesregierung, für die Berichterstattung die notwendigen inhaltlichen und formalen Anforderungen so zu definieren, dass die Vergleichbarkeit der Berichte gewährleistet ist (vgl. Landtagsdrucksachen 8/744 und 8/1589), erfolgt die Berichterstattung auf der Grundlage einer einheitlichen Matrix. Diese Matrix ermöglicht auch die direkte Zuleitung der Berichte an den Landtag, welche ihm eine frühere </w:t>
      </w:r>
      <w:r w:rsidR="00607D23" w:rsidRPr="00D168C3">
        <w:rPr>
          <w:rFonts w:cs="Arial"/>
        </w:rPr>
        <w:lastRenderedPageBreak/>
        <w:t xml:space="preserve">Befassung mit den Berichten ermöglicht. Die Überprüfung der Berichte sowie Maßnahmen nach § 7 Absatz 2 WoftG M-V bleiben unberührt.  </w:t>
      </w:r>
    </w:p>
    <w:p w14:paraId="6A29C98D" w14:textId="77777777" w:rsidR="00973390" w:rsidRPr="00D168C3" w:rsidRDefault="00973390" w:rsidP="00AF188C">
      <w:pPr>
        <w:spacing w:after="0"/>
        <w:jc w:val="both"/>
        <w:rPr>
          <w:rFonts w:cs="Arial"/>
        </w:rPr>
      </w:pPr>
    </w:p>
    <w:p w14:paraId="62CEC7DA" w14:textId="77777777" w:rsidR="00DA7B45" w:rsidRPr="00D168C3" w:rsidRDefault="00DA7B45" w:rsidP="00AF188C">
      <w:pPr>
        <w:pStyle w:val="Listenabsatz"/>
        <w:numPr>
          <w:ilvl w:val="0"/>
          <w:numId w:val="7"/>
        </w:numPr>
        <w:jc w:val="both"/>
        <w:rPr>
          <w:rFonts w:cs="Arial"/>
          <w:b/>
          <w:bCs/>
        </w:rPr>
      </w:pPr>
    </w:p>
    <w:p w14:paraId="0688AC5F" w14:textId="4B6B03E8" w:rsidR="0097278F" w:rsidRPr="00D168C3" w:rsidRDefault="0097278F" w:rsidP="00AF188C">
      <w:pPr>
        <w:spacing w:after="0"/>
        <w:jc w:val="both"/>
        <w:rPr>
          <w:rFonts w:cs="Arial"/>
        </w:rPr>
      </w:pPr>
      <w:r w:rsidRPr="00D168C3">
        <w:rPr>
          <w:rFonts w:cs="Arial"/>
        </w:rPr>
        <w:t>Für Entscheidungen im Bereich der reglementierten Gesundheitsfachberufe wird die Anwendung der Genehmigungsfiktion ausgeschlossen. Dies betrifft insbesondere die Erteilung von Approbationen, Berufserlaubnissen und Erlaubnissen zum Führen einer Berufsbezeichnung, die Anerkennung von Aus- und Weiterbildungseinrichtungen, die Anerkennung oder Anrechnung von Aus- und Weiterbildungen, die Erteilung von Defizitbescheiden sowie die Zulassung zu Prüfungen.</w:t>
      </w:r>
    </w:p>
    <w:p w14:paraId="508708A7" w14:textId="6DD5BC53" w:rsidR="0097278F" w:rsidRPr="00D168C3" w:rsidRDefault="0097278F" w:rsidP="00AF188C">
      <w:pPr>
        <w:spacing w:after="0"/>
        <w:jc w:val="both"/>
        <w:rPr>
          <w:rFonts w:cs="Arial"/>
        </w:rPr>
      </w:pPr>
      <w:r w:rsidRPr="00D168C3">
        <w:rPr>
          <w:rFonts w:cs="Arial"/>
        </w:rPr>
        <w:t>Diese Entscheidungen betreffen unmittelbar den Zugang zu Berufen, in denen eigenverantwortlich Tätigkeiten am Menschen ausgeübt werden. Sie haben daher unmittelbare Auswirkungen auf die Sicherheit von Patientinnen und Patienten sowie auf die Qualität der gesundheitlichen Versorgung. Der Staat nimmt in diesem Bereich eine besondere Schutzfunktion wahr, die aus dem verfassungsrechtlichen Schutz von Leben und Gesundheit folgt. Die Zulassung zu einem Gesundheitsberuf oder die Anerkennung einer Ausbildung ist keine rein formale Verwaltungsentscheidung, sondern setzt eine sorgfältige Prüfung der fachlichen Qualifikation, der persönlichen Zuverlässigkeit und gegebenenfalls der gesundheitlichen Eignung voraus.</w:t>
      </w:r>
    </w:p>
    <w:p w14:paraId="79B9B8C6" w14:textId="3BA6A846" w:rsidR="0097278F" w:rsidRPr="00D168C3" w:rsidRDefault="0097278F" w:rsidP="00AF188C">
      <w:pPr>
        <w:spacing w:after="0"/>
        <w:jc w:val="both"/>
        <w:rPr>
          <w:rFonts w:cs="Arial"/>
        </w:rPr>
      </w:pPr>
      <w:r w:rsidRPr="00D168C3">
        <w:rPr>
          <w:rFonts w:cs="Arial"/>
        </w:rPr>
        <w:t>Die Verfahren sind regelmäßig komplex und erfordern eine umfassende Bewertung vorgelegter Ausbildungs- und Prüfungsnachweise, insbesondere bei ausländischen Qualifikationen. Dabei sind Ausbildungsinhalte, praktische Kompetenzen und berufliche Befugnisse im Einzelnen zu vergleichen und zu bewerten. Häufig sind ergänzende Unterlagen, fachliche Stellungnahmen oder Abstimmungen mit anderen Stellen erforderlich. Auch im Bereich der Anerkennung von Ausbildungsstätten oder Weiterbildungseinrichtungen ist zu prüfen, ob personelle, fachliche und organisatorische Voraussetzungen erfüllt sind. Diese Prüfungen sind in vielen Fällen nicht innerhalb einer starren Frist von drei Monaten abschließend durchführbar.</w:t>
      </w:r>
    </w:p>
    <w:p w14:paraId="47FA5022" w14:textId="03926378" w:rsidR="0097278F" w:rsidRPr="00D168C3" w:rsidRDefault="0097278F" w:rsidP="00AF188C">
      <w:pPr>
        <w:spacing w:after="0"/>
        <w:jc w:val="both"/>
        <w:rPr>
          <w:rFonts w:cs="Arial"/>
        </w:rPr>
      </w:pPr>
      <w:r w:rsidRPr="00D168C3">
        <w:rPr>
          <w:rFonts w:cs="Arial"/>
        </w:rPr>
        <w:t>Eine Genehmigungsfiktion würde dazu führen, dass eine Erlaubnis oder Anerkennung allein aufgrund Fristablaufs als erteilt gilt, ohne dass die erforderliche inhaltliche Prüfung vollständig abgeschlossen wurde. Damit bestünde das Risiko, dass Personen ohne hinreichend geprüfte Qualifikation eigenverantwortlich in der Patientenversorgung tätig werden oder Einrichtungen ohne abschließende Qualitätsprüfung ausbilden. Die nachträgliche Rücknahme oder der Widerruf einer fingierten Genehmigung ist rechtlich nur unter engen Voraussetzungen möglich und würde eingetretene Gefährdungen oder Qualitätsdefizite regelmäßig nicht mehr vollständig kompensieren.</w:t>
      </w:r>
    </w:p>
    <w:p w14:paraId="6DD7642A" w14:textId="68E0F1A1" w:rsidR="0097278F" w:rsidRPr="00D168C3" w:rsidRDefault="0097278F" w:rsidP="00AF188C">
      <w:pPr>
        <w:spacing w:after="0"/>
        <w:jc w:val="both"/>
        <w:rPr>
          <w:rFonts w:cs="Arial"/>
        </w:rPr>
      </w:pPr>
      <w:r w:rsidRPr="00D168C3">
        <w:rPr>
          <w:rFonts w:cs="Arial"/>
        </w:rPr>
        <w:t>Vor dem Hintergrund der hohen Schutzgüter, die im Gesundheitswesen betroffen sind, ist eine automatische Genehmigung kraft Fristablaufs nicht vertretbar. Der Ausschluss der Genehmigungsfiktion stellt sicher, dass jede Entscheidung erst nach vollständiger und fachlich fundierter Prüfung ergeht und der Patientenschutz uneingeschränkt gewährleistet bleibt.</w:t>
      </w:r>
    </w:p>
    <w:p w14:paraId="7375AB22" w14:textId="77777777" w:rsidR="00B40327" w:rsidRPr="00D168C3" w:rsidRDefault="00B40327" w:rsidP="00AF188C">
      <w:pPr>
        <w:spacing w:after="0"/>
        <w:jc w:val="both"/>
        <w:rPr>
          <w:rFonts w:cs="Arial"/>
        </w:rPr>
      </w:pPr>
    </w:p>
    <w:p w14:paraId="258EF159" w14:textId="77777777" w:rsidR="005A2CA4" w:rsidRPr="00D168C3" w:rsidRDefault="005A2CA4" w:rsidP="00AF188C">
      <w:pPr>
        <w:pStyle w:val="Listenabsatz"/>
        <w:numPr>
          <w:ilvl w:val="0"/>
          <w:numId w:val="7"/>
        </w:numPr>
        <w:jc w:val="both"/>
        <w:rPr>
          <w:rFonts w:cs="Arial"/>
          <w:b/>
          <w:bCs/>
        </w:rPr>
      </w:pPr>
    </w:p>
    <w:p w14:paraId="4AE3D66E" w14:textId="7428A923" w:rsidR="000D5F06" w:rsidRPr="00D168C3" w:rsidRDefault="000D5F06" w:rsidP="00AF188C">
      <w:pPr>
        <w:spacing w:after="0"/>
        <w:jc w:val="both"/>
        <w:rPr>
          <w:rFonts w:cs="Arial"/>
        </w:rPr>
      </w:pPr>
      <w:r w:rsidRPr="00D168C3">
        <w:rPr>
          <w:rFonts w:cs="Arial"/>
        </w:rPr>
        <w:t xml:space="preserve">Die Erteilung einer Genehmigung im Rettungsdienst hat unmittelbare strukturelle und finanzielle Auswirkungen auf das System der Notfall- und Krankentransportversorgung. Genehmigungen betreffen regelmäßig die Anzahl der vorzuhaltenden Fahrzeuge, Standorte, Einsatzbereiche sowie die organisatorische Einbindung in das bestehende </w:t>
      </w:r>
      <w:r w:rsidRPr="00D168C3">
        <w:rPr>
          <w:rFonts w:cs="Arial"/>
        </w:rPr>
        <w:lastRenderedPageBreak/>
        <w:t>Versorgungsgefüge. Eine Entscheidung wirkt sich daher nicht nur auf den einzelnen Antragsteller aus, sondern auf das gesamte rettungsdienstliche Versorgungssystem.</w:t>
      </w:r>
    </w:p>
    <w:p w14:paraId="71BD92D8" w14:textId="2612096E" w:rsidR="000D5F06" w:rsidRPr="00D168C3" w:rsidRDefault="000D5F06" w:rsidP="00AF188C">
      <w:pPr>
        <w:spacing w:after="0"/>
        <w:jc w:val="both"/>
        <w:rPr>
          <w:rFonts w:cs="Arial"/>
        </w:rPr>
      </w:pPr>
      <w:r w:rsidRPr="00D168C3">
        <w:rPr>
          <w:rFonts w:cs="Arial"/>
        </w:rPr>
        <w:t xml:space="preserve">Der Rettungsdienst als Teil der öffentlichen Daseinsvorsorge dient unmittelbar dem Schutz von Leben und Gesundheit (Art. 2 </w:t>
      </w:r>
      <w:r w:rsidR="001E1039">
        <w:rPr>
          <w:rFonts w:cs="Arial"/>
        </w:rPr>
        <w:t xml:space="preserve">Absatz </w:t>
      </w:r>
      <w:r w:rsidRPr="00D168C3">
        <w:rPr>
          <w:rFonts w:cs="Arial"/>
        </w:rPr>
        <w:t>2 Satz 1 GG). Genehmigungen dürfen nur erteilt werden, wenn sie dem tatsächlichen Bedarf entsprechen und die Funktionsfähigkeit des Gesamtsystems nicht beeinträchtigen.</w:t>
      </w:r>
    </w:p>
    <w:p w14:paraId="2986344A" w14:textId="06C6C352" w:rsidR="000D5F06" w:rsidRPr="00D168C3" w:rsidRDefault="000D5F06" w:rsidP="00AF188C">
      <w:pPr>
        <w:spacing w:after="0"/>
        <w:jc w:val="both"/>
        <w:rPr>
          <w:rFonts w:cs="Arial"/>
        </w:rPr>
      </w:pPr>
      <w:r w:rsidRPr="00D168C3">
        <w:rPr>
          <w:rFonts w:cs="Arial"/>
        </w:rPr>
        <w:t>Erweist sich eine Genehmigung infolge einer Genehmigungsfiktion als nicht bedarfsgerecht, kann dies zu strukturellen Fehlsteuerungen führen. Überkapazitäten oder Fehlallokationen können Einsatzstrukturen destabilisieren, Wirtschaftlichkeit beeinträchtigen und mittelbar die Qualität und Verlässlichkeit der Notfallversorgung gefährden. Eine automatische Genehmigung durch Fristablauf würde die notwendige Bedarfsprüfung faktisch ersetzen und damit das Systemprinzip der bedarfsgerechten Planung unterlaufen.</w:t>
      </w:r>
    </w:p>
    <w:p w14:paraId="00AA3A04" w14:textId="3665BEE0" w:rsidR="000D5F06" w:rsidRPr="00D168C3" w:rsidRDefault="000D5F06" w:rsidP="00AF188C">
      <w:pPr>
        <w:spacing w:after="0"/>
        <w:jc w:val="both"/>
        <w:rPr>
          <w:rFonts w:cs="Arial"/>
        </w:rPr>
      </w:pPr>
      <w:r w:rsidRPr="00D168C3">
        <w:rPr>
          <w:rFonts w:cs="Arial"/>
        </w:rPr>
        <w:t>Die Kosten des Rettungsdienstes werden im Wesentlichen durch die gesetzlich und privat Krankenversicherten getragen. Es handelt sich damit um beitragsfinanzierte Leistungen. Eine Genehmigungsfiktion könnte zu Genehmigungen führen, die nicht auf einer abschließenden Bedarfs- und Wirtschaftlichkeitsprüfung beruhen. Dies hätte unmittelbare Kostenfolgen für die Versichertengemeinschaft. Angesichts des Gebots eines wirtschaftlichen und sparsamen Mitteleinsatzes ist es nicht vertretbar, Genehmigungen allein aufgrund Fristablaufs eintreten zu lassen.</w:t>
      </w:r>
    </w:p>
    <w:p w14:paraId="2E5CCE71" w14:textId="5E4A8031" w:rsidR="000D5F06" w:rsidRPr="00D168C3" w:rsidRDefault="000D5F06" w:rsidP="00AF188C">
      <w:pPr>
        <w:spacing w:after="0"/>
        <w:jc w:val="both"/>
        <w:rPr>
          <w:rFonts w:cs="Arial"/>
        </w:rPr>
      </w:pPr>
      <w:r w:rsidRPr="00D168C3">
        <w:rPr>
          <w:rFonts w:cs="Arial"/>
        </w:rPr>
        <w:t>Zudem hängt die Entscheidung über Genehmigungen im Rettungsdienst regelmäßig von fachlichen Stellungnahmen und Bewertungen Dritter ab, insbesondere von den Trägern des Rettungsdienstes, den Kostenträgern, den Planungs- und Leitstellenstrukturen sowie ggf. weiteren beteiligten Behörden. Diese Beteiligten sind nicht weisungsgebunden gegenüber der Genehmigungsbehörde. Die erforderlichen Stellungnahmen und Datengrundlagen können nicht vollständig zeitlich gesteuert werden. Eine starre Fristregelung würde der tatsächlichen Verfahrensstruktur nicht gerecht.</w:t>
      </w:r>
    </w:p>
    <w:p w14:paraId="0863252E" w14:textId="39BB6D9B" w:rsidR="000D5F06" w:rsidRPr="00D168C3" w:rsidRDefault="000D5F06" w:rsidP="00AF188C">
      <w:pPr>
        <w:spacing w:after="0"/>
        <w:jc w:val="both"/>
        <w:rPr>
          <w:rFonts w:cs="Arial"/>
        </w:rPr>
      </w:pPr>
      <w:r w:rsidRPr="00D168C3">
        <w:rPr>
          <w:rFonts w:cs="Arial"/>
        </w:rPr>
        <w:t xml:space="preserve">Nach § 18 </w:t>
      </w:r>
      <w:r w:rsidR="001E1039">
        <w:rPr>
          <w:rFonts w:cs="Arial"/>
        </w:rPr>
        <w:t xml:space="preserve">Absatz </w:t>
      </w:r>
      <w:r w:rsidRPr="00D168C3">
        <w:rPr>
          <w:rFonts w:cs="Arial"/>
        </w:rPr>
        <w:t>2 Satz 2 soll die Genehmigungsbehörde vor der Entscheidung über neue Anträge einen Beobachtungszeitraum einhalten, um die Auswirkungen früher erteilter Genehmigungen bewerten zu können. Dieser Zeitraum kann bis zu einem Jahr betragen. Zweck dieser Regelung ist es, belastbare Erkenntnisse über die tatsächliche Entwicklung der Einsatz- und Bedarfszahlen zu gewinnen und Fehlentwicklungen zu vermeiden. Die Bedarfsplanung im Rettungsdienst ist dynamisch und erfordert eine kontinuierliche Evaluation. Die Anwendung einer Genehmigungsfiktion würde diesem gesetzgeberischen Konzept widersprechen. Würde eine Genehmigung allein durch Fristablauf eintreten, könnte der gesetzlich vorgesehene Beobachtungszeitraum faktisch unterlaufen werden. Eine sachgerechte Bewertung der Auswirkungen vorangegangener Genehmigungen wäre nicht mehr gewährleistet.</w:t>
      </w:r>
    </w:p>
    <w:p w14:paraId="1CF70F6F" w14:textId="55D91E3B" w:rsidR="000D5F06" w:rsidRPr="00D168C3" w:rsidRDefault="000D5F06" w:rsidP="00AF188C">
      <w:pPr>
        <w:spacing w:after="0"/>
        <w:jc w:val="both"/>
        <w:rPr>
          <w:rFonts w:cs="Arial"/>
        </w:rPr>
      </w:pPr>
      <w:r w:rsidRPr="00D168C3">
        <w:rPr>
          <w:rFonts w:cs="Arial"/>
        </w:rPr>
        <w:t xml:space="preserve">Die Genehmigungsfiktion ist für Verfahren vorgesehen, in denen die tatbestandlichen Voraussetzungen klar bestimmbar sind und eine abschließende Prüfung innerhalb der Frist regelmäßig möglich ist. Diese Voraussetzungen liegen im Bereich des Rettungsdienstes nicht vor. Die Genehmigungsentscheidung hier ist eingebettet in ein komplexes, beitragsfinanziertes Versorgungssystem und berührt unmittelbar den staatlichen Schutzauftrag für Leben und Gesundheit. Sie setzt eine sorgfältige Bedarfsprüfung, die Einbindung Dritter sowie – im Hinblick auf § 18 </w:t>
      </w:r>
      <w:r w:rsidR="001E1039">
        <w:rPr>
          <w:rFonts w:cs="Arial"/>
        </w:rPr>
        <w:t xml:space="preserve">Absatz </w:t>
      </w:r>
      <w:r w:rsidRPr="00D168C3">
        <w:rPr>
          <w:rFonts w:cs="Arial"/>
        </w:rPr>
        <w:t>2 – eine evaluierende Betrachtung der Versorgungslage voraus.</w:t>
      </w:r>
    </w:p>
    <w:p w14:paraId="54684A97" w14:textId="4F3F3DFA" w:rsidR="000D5F06" w:rsidRPr="00D168C3" w:rsidRDefault="000D5F06" w:rsidP="00AF188C">
      <w:pPr>
        <w:spacing w:after="0"/>
        <w:jc w:val="both"/>
        <w:rPr>
          <w:rFonts w:cs="Arial"/>
        </w:rPr>
      </w:pPr>
      <w:r w:rsidRPr="00D168C3">
        <w:rPr>
          <w:rFonts w:cs="Arial"/>
        </w:rPr>
        <w:t>Der Ausschluss der Genehmigungsfiktion ist daher erforderlich, um die Funktionsfähigkeit des Rettungsdienstes, die Wirtschaftlichkeit der Mittelverwendung und die Patientensicherheit dauerhaft zu gewährleisten.</w:t>
      </w:r>
    </w:p>
    <w:p w14:paraId="483986FF" w14:textId="77777777" w:rsidR="009D66AE" w:rsidRPr="00D168C3" w:rsidRDefault="009D66AE" w:rsidP="00AF188C">
      <w:pPr>
        <w:spacing w:after="0"/>
        <w:jc w:val="both"/>
        <w:rPr>
          <w:rFonts w:cs="Arial"/>
        </w:rPr>
      </w:pPr>
    </w:p>
    <w:p w14:paraId="3F4A3A54" w14:textId="77777777" w:rsidR="009D66AE" w:rsidRPr="00D168C3" w:rsidRDefault="009D66AE" w:rsidP="00AF188C">
      <w:pPr>
        <w:pStyle w:val="Listenabsatz"/>
        <w:numPr>
          <w:ilvl w:val="0"/>
          <w:numId w:val="7"/>
        </w:numPr>
        <w:jc w:val="both"/>
        <w:rPr>
          <w:rFonts w:cs="Arial"/>
          <w:b/>
          <w:bCs/>
        </w:rPr>
      </w:pPr>
    </w:p>
    <w:p w14:paraId="62833AD7" w14:textId="77777777" w:rsidR="00355BF3" w:rsidRPr="00355BF3" w:rsidRDefault="00355BF3" w:rsidP="00355BF3">
      <w:pPr>
        <w:spacing w:after="0"/>
        <w:jc w:val="both"/>
        <w:rPr>
          <w:rFonts w:cs="Arial"/>
        </w:rPr>
      </w:pPr>
      <w:r w:rsidRPr="00355BF3">
        <w:rPr>
          <w:rFonts w:cs="Arial"/>
        </w:rPr>
        <w:lastRenderedPageBreak/>
        <w:t xml:space="preserve">Zu Nummer 1 </w:t>
      </w:r>
    </w:p>
    <w:p w14:paraId="51AEE5F4" w14:textId="2E1B93A1" w:rsidR="00355BF3" w:rsidRDefault="00355BF3" w:rsidP="00355BF3">
      <w:pPr>
        <w:spacing w:after="0"/>
        <w:jc w:val="both"/>
        <w:rPr>
          <w:rFonts w:cs="Arial"/>
        </w:rPr>
      </w:pPr>
      <w:r w:rsidRPr="00355BF3">
        <w:rPr>
          <w:rFonts w:cs="Arial"/>
        </w:rPr>
        <w:t>Klarstellung aufgrund der Regelung in § 3a VwVfG M-V.</w:t>
      </w:r>
    </w:p>
    <w:p w14:paraId="72FB44C7" w14:textId="77777777" w:rsidR="00355BF3" w:rsidRDefault="00355BF3" w:rsidP="00355BF3">
      <w:pPr>
        <w:spacing w:after="0"/>
        <w:jc w:val="both"/>
        <w:rPr>
          <w:rFonts w:cs="Arial"/>
          <w:highlight w:val="green"/>
        </w:rPr>
      </w:pPr>
    </w:p>
    <w:p w14:paraId="2FB3EAD0" w14:textId="77777777" w:rsidR="00355BF3" w:rsidRPr="005A2A9B" w:rsidRDefault="00355BF3" w:rsidP="00AF188C">
      <w:pPr>
        <w:spacing w:after="0"/>
        <w:jc w:val="both"/>
        <w:rPr>
          <w:rFonts w:cs="Arial"/>
        </w:rPr>
      </w:pPr>
      <w:r w:rsidRPr="005A2A9B">
        <w:rPr>
          <w:rFonts w:cs="Arial"/>
        </w:rPr>
        <w:t>Zu Nummer 2:</w:t>
      </w:r>
    </w:p>
    <w:p w14:paraId="35AE564B" w14:textId="77777777" w:rsidR="00355BF3" w:rsidRPr="00367C64" w:rsidRDefault="00355BF3" w:rsidP="00355BF3">
      <w:pPr>
        <w:spacing w:after="0"/>
        <w:jc w:val="both"/>
        <w:rPr>
          <w:rFonts w:cs="Arial"/>
        </w:rPr>
      </w:pPr>
      <w:r w:rsidRPr="00367C64">
        <w:rPr>
          <w:rFonts w:cs="Arial"/>
        </w:rPr>
        <w:t>Für Verfahren nach dem Insolvenzordnungsausführungsgesetz (</w:t>
      </w:r>
      <w:r w:rsidRPr="00367C64">
        <w:t>InsOAG M-V</w:t>
      </w:r>
      <w:r w:rsidRPr="00367C64">
        <w:rPr>
          <w:rFonts w:cs="Arial"/>
        </w:rPr>
        <w:t>) findet die Genehmigungsfiktion (§ 42a VwVfG M-V) keine Anwendung.</w:t>
      </w:r>
    </w:p>
    <w:p w14:paraId="7C313E61" w14:textId="77777777" w:rsidR="00355BF3" w:rsidRPr="00367C64" w:rsidRDefault="00355BF3" w:rsidP="00355BF3">
      <w:pPr>
        <w:spacing w:after="0"/>
        <w:jc w:val="both"/>
        <w:rPr>
          <w:rFonts w:cs="Arial"/>
        </w:rPr>
      </w:pPr>
      <w:r w:rsidRPr="00367C64">
        <w:rPr>
          <w:rFonts w:cs="Arial"/>
        </w:rPr>
        <w:t>Die Anerkennungsentscheidung hat konstitutiven Charakter und eröffnet den Zugang zu einer Tätigkeit, die regelmäßig mit besonderer Verantwortung gegenüber Dritten verbunden ist. Sie begründet eine rechtlich geschützte Statusposition und entfaltet Wirkung im Rechtsverkehr. Eine solche Entscheidung darf nicht allein aufgrund Fristablaufs eintreten, sondern setzt eine positive, inhaltliche Feststellung der gesetzlichen Voraussetzungen voraus.</w:t>
      </w:r>
    </w:p>
    <w:p w14:paraId="083305DA" w14:textId="77777777" w:rsidR="00355BF3" w:rsidRPr="00367C64" w:rsidRDefault="00355BF3" w:rsidP="00355BF3">
      <w:pPr>
        <w:spacing w:after="0"/>
        <w:jc w:val="both"/>
        <w:rPr>
          <w:rFonts w:cs="Arial"/>
        </w:rPr>
      </w:pPr>
      <w:r w:rsidRPr="00367C64">
        <w:rPr>
          <w:rFonts w:cs="Arial"/>
        </w:rPr>
        <w:t>Die Anerkennung erfordert eine umfassende Einzelfallprüfung. Hierzu gehören insbesondere die Bewertung der fachlichen Gleichwertigkeit vorgelegter Qualifikationen, gegebenenfalls die Feststellung von Ausgleichs- oder Anpassungsbedarfen sowie die Prüfung der persönlichen Zuverlässigkeit</w:t>
      </w:r>
      <w:r w:rsidRPr="00935F92">
        <w:rPr>
          <w:rFonts w:cs="Arial"/>
        </w:rPr>
        <w:t xml:space="preserve"> </w:t>
      </w:r>
      <w:r w:rsidRPr="00BE38A1">
        <w:rPr>
          <w:rFonts w:cs="Arial"/>
        </w:rPr>
        <w:t>der in der Beratungsstelle tätigen Personen</w:t>
      </w:r>
      <w:r w:rsidRPr="00367C64">
        <w:rPr>
          <w:rFonts w:cs="Arial"/>
        </w:rPr>
        <w:t>. Diese Prüfungen sind nicht rein formal, sondern erfordern eine materielle Bewertung und können die Beteiligung weiterer Stellen erforderlich machen.</w:t>
      </w:r>
    </w:p>
    <w:p w14:paraId="2874445A" w14:textId="77777777" w:rsidR="00355BF3" w:rsidRPr="00367C64" w:rsidRDefault="00355BF3" w:rsidP="00355BF3">
      <w:pPr>
        <w:spacing w:after="0"/>
        <w:jc w:val="both"/>
        <w:rPr>
          <w:rFonts w:cs="Arial"/>
        </w:rPr>
      </w:pPr>
      <w:r w:rsidRPr="00367C64">
        <w:rPr>
          <w:rFonts w:cs="Arial"/>
        </w:rPr>
        <w:t>Eine Genehmigungsfiktion würde dazu führen, dass eine Anerkennung kraft Fristablaufs als erteilt gilt, ohne dass die erforderliche fachliche und persönliche Eignung</w:t>
      </w:r>
      <w:r>
        <w:rPr>
          <w:rFonts w:cs="Arial"/>
        </w:rPr>
        <w:t xml:space="preserve"> der in der Beratungsstelle tätigen Personen</w:t>
      </w:r>
      <w:r w:rsidRPr="00367C64">
        <w:rPr>
          <w:rFonts w:cs="Arial"/>
        </w:rPr>
        <w:t xml:space="preserve"> abschließend festgestellt wurde. Dies könnte zu erheblichen Risiken für Dritte sowie zu Beeinträchtigungen der Funktionsfähigkeit des jeweiligen Tätigkeitsbereichs führen.</w:t>
      </w:r>
    </w:p>
    <w:p w14:paraId="0F6F0777" w14:textId="77777777" w:rsidR="00355BF3" w:rsidRPr="00367C64" w:rsidRDefault="00355BF3" w:rsidP="00355BF3">
      <w:pPr>
        <w:spacing w:after="0"/>
        <w:jc w:val="both"/>
        <w:rPr>
          <w:rFonts w:cs="Arial"/>
        </w:rPr>
      </w:pPr>
      <w:r w:rsidRPr="00367C64">
        <w:rPr>
          <w:rFonts w:cs="Arial"/>
        </w:rPr>
        <w:t>Eine nachträgliche Rücknahme oder ein Widerruf einer fingierten Anerkennung ist rechtlich nur unter engen Voraussetzungen möglich und mit erheblichen Unsicherheiten verbunden. Insbesondere sind Vertrauensschutzgesichtspunkte zu berücksichtigen. Eingetretene Wirkungen lassen sich häufig nicht vollständig rückgängig machen.</w:t>
      </w:r>
    </w:p>
    <w:p w14:paraId="317E20BF" w14:textId="77777777" w:rsidR="00355BF3" w:rsidRPr="00D76E0D" w:rsidRDefault="00355BF3" w:rsidP="00355BF3">
      <w:pPr>
        <w:spacing w:after="0"/>
        <w:jc w:val="both"/>
        <w:rPr>
          <w:rFonts w:cs="Arial"/>
        </w:rPr>
      </w:pPr>
      <w:r w:rsidRPr="00367C64">
        <w:rPr>
          <w:rFonts w:cs="Arial"/>
        </w:rPr>
        <w:t>Vor diesem Hintergrund ist der Ausschluss der Genehmigungsfiktion erforderlich, um sicherzustellen, dass Anerkennungen ausschließlich nach vollständiger und sorgfältiger materieller Prüfung erteilt werden und die gesetzlichen Schutzanforderungen gewahrt bleiben.</w:t>
      </w:r>
    </w:p>
    <w:p w14:paraId="255E166C" w14:textId="77777777" w:rsidR="005A2CA4" w:rsidRPr="00D168C3" w:rsidRDefault="005A2CA4" w:rsidP="00AF188C">
      <w:pPr>
        <w:spacing w:after="0"/>
        <w:jc w:val="both"/>
        <w:rPr>
          <w:rFonts w:cs="Arial"/>
        </w:rPr>
      </w:pPr>
    </w:p>
    <w:p w14:paraId="255D6E1A" w14:textId="77777777" w:rsidR="00DA7B45" w:rsidRPr="00D168C3" w:rsidRDefault="00DA7B45" w:rsidP="00AF188C">
      <w:pPr>
        <w:pStyle w:val="Listenabsatz"/>
        <w:numPr>
          <w:ilvl w:val="0"/>
          <w:numId w:val="7"/>
        </w:numPr>
        <w:jc w:val="both"/>
        <w:rPr>
          <w:rFonts w:cs="Arial"/>
          <w:b/>
          <w:bCs/>
        </w:rPr>
      </w:pPr>
    </w:p>
    <w:p w14:paraId="34BA5F0D" w14:textId="6D8F57F3" w:rsidR="0010068D" w:rsidRPr="00D168C3" w:rsidRDefault="00DA7B45" w:rsidP="00AF188C">
      <w:pPr>
        <w:spacing w:after="0"/>
        <w:jc w:val="both"/>
        <w:rPr>
          <w:rFonts w:cs="Arial"/>
        </w:rPr>
      </w:pPr>
      <w:r w:rsidRPr="005A2A9B">
        <w:rPr>
          <w:rFonts w:cs="Arial"/>
        </w:rPr>
        <w:t>Zu Nummer 1:</w:t>
      </w:r>
    </w:p>
    <w:p w14:paraId="491D5958" w14:textId="7E1E7EC1" w:rsidR="004049C1" w:rsidRPr="00D168C3" w:rsidRDefault="004049C1" w:rsidP="00AF188C">
      <w:pPr>
        <w:spacing w:after="0"/>
        <w:jc w:val="both"/>
        <w:rPr>
          <w:rFonts w:cs="Arial"/>
        </w:rPr>
      </w:pPr>
      <w:r w:rsidRPr="00D168C3">
        <w:rPr>
          <w:rFonts w:cs="Arial"/>
        </w:rPr>
        <w:t>Für die Erteilung einer Erlaubnis zur Durchführung von Modellvorhaben zur qualitativen und quantitativen chemischen Analyse nicht verschriebener Betäubungsmittel (Drug-Checking-Modellvorhaben) findet die Genehmigungsfiktion (§ 42a VwVfG M-V) keine Anwendung.</w:t>
      </w:r>
    </w:p>
    <w:p w14:paraId="4D29A0AD" w14:textId="3F02886C" w:rsidR="004049C1" w:rsidRPr="00D168C3" w:rsidRDefault="004049C1" w:rsidP="00AF188C">
      <w:pPr>
        <w:spacing w:after="0"/>
        <w:jc w:val="both"/>
        <w:rPr>
          <w:rFonts w:cs="Arial"/>
        </w:rPr>
      </w:pPr>
      <w:r w:rsidRPr="00D168C3">
        <w:rPr>
          <w:rFonts w:cs="Arial"/>
        </w:rPr>
        <w:t xml:space="preserve">Die Zulassung solcher Modellvorhaben berührt unmittelbar hochrangige Rechtsgüter. Der Konsum nicht verschriebener Betäubungsmittel ist mit erheblichen gesundheitlichen Risiken verbunden und kann zu schweren körperlichen und psychischen Schäden bis hin zum Tod führen. Nach Art. 2 </w:t>
      </w:r>
      <w:r w:rsidR="001E1039">
        <w:rPr>
          <w:rFonts w:cs="Arial"/>
        </w:rPr>
        <w:t xml:space="preserve">Absatz </w:t>
      </w:r>
      <w:r w:rsidRPr="00D168C3">
        <w:rPr>
          <w:rFonts w:cs="Arial"/>
        </w:rPr>
        <w:t>2 Satz 1 GG ist der Staat verpflichtet, Leben und körperliche Unversehrtheit zu schützen. Diese Schutzpflicht umfasst nicht nur den repressiven Bereich der Gefahrenabwehr, sondern auch präventive Maßnahmen zur Risikominimierung sowie die Gewährleistung wirksamer Kontroll- und Aufsichtsstrukturen.</w:t>
      </w:r>
    </w:p>
    <w:p w14:paraId="6DB719D8" w14:textId="3E527397" w:rsidR="004049C1" w:rsidRPr="00D168C3" w:rsidRDefault="004049C1" w:rsidP="00AF188C">
      <w:pPr>
        <w:spacing w:after="0"/>
        <w:jc w:val="both"/>
        <w:rPr>
          <w:rFonts w:cs="Arial"/>
        </w:rPr>
      </w:pPr>
      <w:r w:rsidRPr="00D168C3">
        <w:rPr>
          <w:rFonts w:cs="Arial"/>
        </w:rPr>
        <w:t xml:space="preserve">Drug-Checking-Modellvorhaben stellen eine Ausnahme innerhalb des betäubungsmittelrechtlichen Gefüges dar. Sie dienen zwar der Gesundheitsprävention und Aufklärung, bewegen sich jedoch in einem sensiblen Spannungsfeld zwischen Schadensminderung, Strafrecht und Gefahrenabwehr. Ihre Zulassung setzt daher eine sorgfältige und umfassende Prüfung voraus, ob die gesetzlichen Voraussetzungen erfüllt sind und ob das beantragte Vorhaben geeignet ist, die angestrebte Risikoreduzierung tatsächlich </w:t>
      </w:r>
      <w:r w:rsidRPr="00D168C3">
        <w:rPr>
          <w:rFonts w:cs="Arial"/>
        </w:rPr>
        <w:lastRenderedPageBreak/>
        <w:t>zu gewährleisten. Hierzu gehören insbesondere die fachliche Qualifikation des Personals, die Validität der Analyseverfahren, die Qualität der Risikobewertung und Aufklärung, die sichere Handhabung der Substanzen sowie geeignete organisatorische und datenschutzrechtliche Vorkehrungen.</w:t>
      </w:r>
    </w:p>
    <w:p w14:paraId="2D9FB852" w14:textId="7C292BD0" w:rsidR="004049C1" w:rsidRPr="00D168C3" w:rsidRDefault="004049C1" w:rsidP="00AF188C">
      <w:pPr>
        <w:spacing w:after="0"/>
        <w:jc w:val="both"/>
        <w:rPr>
          <w:rFonts w:cs="Arial"/>
        </w:rPr>
      </w:pPr>
      <w:r w:rsidRPr="00D168C3">
        <w:rPr>
          <w:rFonts w:cs="Arial"/>
        </w:rPr>
        <w:t>Eine Genehmigungsfiktion würde dazu führen, dass eine Erlaubnis allein aufgrund Fristablaufs als erteilt gilt, ohne dass die materiellen Voraussetzungen abschließend geprüft worden sind. Damit bestünde die Gefahr, dass Vorhaben zugelassen werden, die den verfassungsrechtlich gebotenen Schutz von Leben und Gesundheit nicht hinreichend gewährleisten. Eine automatische Genehmigung würde die notwendige Schutz- und Kontrollfunktion der Behörde faktisch durch einen bloßen Fristablauf ersetzen und könnte im Ergebnis zu einer unzureichend gesicherten Durchführung führen.</w:t>
      </w:r>
    </w:p>
    <w:p w14:paraId="33C68084" w14:textId="5282C119" w:rsidR="004049C1" w:rsidRPr="00D168C3" w:rsidRDefault="004049C1" w:rsidP="00AF188C">
      <w:pPr>
        <w:spacing w:after="0"/>
        <w:jc w:val="both"/>
        <w:rPr>
          <w:rFonts w:cs="Arial"/>
        </w:rPr>
      </w:pPr>
      <w:r w:rsidRPr="00D168C3">
        <w:rPr>
          <w:rFonts w:cs="Arial"/>
        </w:rPr>
        <w:t>Der Staat darf sich seiner Schutzpflicht nicht dadurch entziehen, dass er hochsensible Entscheidungen allein aus formalen Gründen als genehmigt gelten lässt. Die Entscheidung über die Zulassung eines Drug-Checking-Modellvorhabens muss vielmehr auf einer vollständigen, fachlich fundierten Prüfung beruhen, die sicherstellt, dass die Maßnahme tatsächlich dem Gesundheitsschutz dient und keine zusätzlichen Risiken schafft.</w:t>
      </w:r>
    </w:p>
    <w:p w14:paraId="152C2BBD" w14:textId="10FDF29B" w:rsidR="004049C1" w:rsidRPr="00D168C3" w:rsidRDefault="004049C1" w:rsidP="00AF188C">
      <w:pPr>
        <w:spacing w:after="0"/>
        <w:jc w:val="both"/>
        <w:rPr>
          <w:rFonts w:cs="Arial"/>
        </w:rPr>
      </w:pPr>
      <w:r w:rsidRPr="00D168C3">
        <w:rPr>
          <w:rFonts w:cs="Arial"/>
        </w:rPr>
        <w:t xml:space="preserve">Vor diesem Hintergrund ist der Ausschluss der Genehmigungsfiktion zwingend geboten. Er stellt sicher, dass jede Erlaubnis erst nach sorgfältiger materieller Prüfung und unter Wahrung der staatlichen Schutzpflicht aus Art. 2 </w:t>
      </w:r>
      <w:r w:rsidR="001E1039">
        <w:rPr>
          <w:rFonts w:cs="Arial"/>
        </w:rPr>
        <w:t xml:space="preserve">Absatz </w:t>
      </w:r>
      <w:r w:rsidRPr="00D168C3">
        <w:rPr>
          <w:rFonts w:cs="Arial"/>
        </w:rPr>
        <w:t>2 GG erteilt wird.</w:t>
      </w:r>
    </w:p>
    <w:p w14:paraId="792E0EFB" w14:textId="77777777" w:rsidR="00DA7B45" w:rsidRPr="00D168C3" w:rsidRDefault="00DA7B45" w:rsidP="00AF188C">
      <w:pPr>
        <w:spacing w:after="0"/>
        <w:jc w:val="both"/>
        <w:rPr>
          <w:rFonts w:cs="Arial"/>
        </w:rPr>
      </w:pPr>
    </w:p>
    <w:p w14:paraId="38121B6C" w14:textId="49E4E76F" w:rsidR="00DA7B45" w:rsidRPr="00D168C3" w:rsidRDefault="00DA7B45" w:rsidP="00AF188C">
      <w:pPr>
        <w:spacing w:after="0"/>
        <w:jc w:val="both"/>
        <w:rPr>
          <w:rFonts w:cs="Arial"/>
        </w:rPr>
      </w:pPr>
      <w:r w:rsidRPr="005A2A9B">
        <w:rPr>
          <w:rFonts w:cs="Arial"/>
        </w:rPr>
        <w:t>Zu Nummer 2:</w:t>
      </w:r>
    </w:p>
    <w:p w14:paraId="5B3E24F7" w14:textId="40B940CA" w:rsidR="006E661D" w:rsidRPr="00D168C3" w:rsidRDefault="006E661D" w:rsidP="00AF188C">
      <w:pPr>
        <w:spacing w:after="0"/>
        <w:jc w:val="both"/>
        <w:rPr>
          <w:rFonts w:cs="Arial"/>
        </w:rPr>
      </w:pPr>
      <w:r w:rsidRPr="00D168C3">
        <w:rPr>
          <w:rFonts w:cs="Arial"/>
        </w:rPr>
        <w:t>§ 10b Betäubungsmittelgesetz eröffnet bundesrechtlich die Möglichkeit zur Durchführung von Drug-Checking-Modellvorhaben. Die Vorschrift ist unbefristet ausgestaltet und damit auf eine dauerhafte rechtliche Ermöglichung entsprechender Angebote angelegt. Der Bundesgesetzgeber hat sich bewusst für eine strukturelle Öffnung des Betäubungsmittelrechts entschieden und keinen zeitlich begrenzten Ausnahmecharakter normiert. Vor diesem Hintergrund bedarf es auch auf Landesebene einer dauerhaft tragfähigen Rechtsgrundlage, um eine verlässliche und konsistente Umsetzung sicherzustellen.</w:t>
      </w:r>
    </w:p>
    <w:p w14:paraId="42CB46F4" w14:textId="2FF9CE98" w:rsidR="006E661D" w:rsidRPr="00D168C3" w:rsidRDefault="006E661D" w:rsidP="00AF188C">
      <w:pPr>
        <w:spacing w:after="0"/>
        <w:jc w:val="both"/>
        <w:rPr>
          <w:rFonts w:cs="Arial"/>
        </w:rPr>
      </w:pPr>
      <w:r w:rsidRPr="00D168C3">
        <w:rPr>
          <w:rFonts w:cs="Arial"/>
        </w:rPr>
        <w:t xml:space="preserve">Die Entfristung ist darüber hinaus aus verfassungsrechtlichen Gründen sachgerecht. Der Staat ist nach Art. 2 </w:t>
      </w:r>
      <w:r w:rsidR="001E1039">
        <w:rPr>
          <w:rFonts w:cs="Arial"/>
        </w:rPr>
        <w:t xml:space="preserve">Absatz </w:t>
      </w:r>
      <w:r w:rsidRPr="00D168C3">
        <w:rPr>
          <w:rFonts w:cs="Arial"/>
        </w:rPr>
        <w:t>2 Satz 1 GG verpflichtet, Leben und körperliche Unversehrtheit zu schützen. Diese Schutzpflicht umfasst auch präventive Maßnahmen zur Reduzierung gesundheitlicher Risiken. Drug-Checking-Angebote dienen der Risikominimierung im Zusammenhang mit dem Konsum illegaler Substanzen und zielen auf Schadensminderung, Aufklärung und Prävention ab. Eine dauerhaft verlässliche rechtliche Grundlage trägt dazu bei, diese präventiven Schutzinstrumente stabil zu verankern und den staatlichen Schutzauftrag wirksam umzusetzen.</w:t>
      </w:r>
    </w:p>
    <w:p w14:paraId="102237D7" w14:textId="35B3C364" w:rsidR="006E661D" w:rsidRPr="00D168C3" w:rsidRDefault="006E661D" w:rsidP="00AF188C">
      <w:pPr>
        <w:spacing w:after="0"/>
        <w:jc w:val="both"/>
        <w:rPr>
          <w:rFonts w:cs="Arial"/>
        </w:rPr>
      </w:pPr>
      <w:r w:rsidRPr="00D168C3">
        <w:rPr>
          <w:rFonts w:cs="Arial"/>
        </w:rPr>
        <w:t>Die Entfristung entspricht zudem der Systematik anderer dauerhaft etablierter Präventionsstrukturen im Gesundheitsbereich. Maßnahmen der Suchtprävention, Gesundheitsaufklärung und Schadensminderung sind regelmäßig nicht projektbezogen auf kurze Zeiträume angelegt, sondern bedürfen kontinuierlicher Strukturen. Eine lediglich befristete Regelung würde dem Charakter solcher präventiven Maßnahmen nicht gerecht und könnte die notwendige Kontinuität der Angebote beeinträchtigen.</w:t>
      </w:r>
    </w:p>
    <w:p w14:paraId="1F04CED1" w14:textId="4C5B9304" w:rsidR="006E661D" w:rsidRPr="00D168C3" w:rsidRDefault="006E661D" w:rsidP="00AF188C">
      <w:pPr>
        <w:spacing w:after="0"/>
        <w:jc w:val="both"/>
        <w:rPr>
          <w:rFonts w:cs="Arial"/>
        </w:rPr>
      </w:pPr>
      <w:r w:rsidRPr="00D168C3">
        <w:rPr>
          <w:rFonts w:cs="Arial"/>
        </w:rPr>
        <w:t>Hinzu kommt, dass befristete Normen mit dem Risiko von Vollzugsabbrüchen verbunden sind. Laufende Projekte, Kooperationen mit Trägern sowie wissenschaftliche Begleit- und Evaluationsmaßnahmen benötigen Planungssicherheit. Eine Befristung würde bei Auslaufen der Regelung rechtliche Unsicherheiten erzeugen und könnte dazu führen, dass bestehende Strukturen unterbrochen oder vorzeitig beendet werden müssen. Dies wäre weder im Interesse des Gesundheitsschutzes noch der Rechtssicherheit der beteiligten Akteure.</w:t>
      </w:r>
    </w:p>
    <w:p w14:paraId="1D3ABE81" w14:textId="7023E96D" w:rsidR="006E661D" w:rsidRPr="00D168C3" w:rsidRDefault="006E661D" w:rsidP="00AF188C">
      <w:pPr>
        <w:spacing w:after="0"/>
        <w:jc w:val="both"/>
        <w:rPr>
          <w:rFonts w:cs="Arial"/>
        </w:rPr>
      </w:pPr>
      <w:r w:rsidRPr="00D168C3">
        <w:rPr>
          <w:rFonts w:cs="Arial"/>
        </w:rPr>
        <w:lastRenderedPageBreak/>
        <w:t>Schließlich ist auch aus haushalts- und verwaltungsorganisatorischer Sicht eine dauerhafte Regelung sachgerecht. Die Einrichtung und Unterhaltung qualitätsgesicherter Analyse- und Beratungsstrukturen erfordert Investitionen, Personalplanung und langfristige Kooperationen. Eine befristete Rechtsgrundlage würde die nachhaltige Mittelplanung erschweren und die wirtschaftliche Verwendung öffentlicher Ressourcen beeinträchtigen.</w:t>
      </w:r>
    </w:p>
    <w:p w14:paraId="13DDF826" w14:textId="34A9605A" w:rsidR="006E661D" w:rsidRPr="00D168C3" w:rsidRDefault="006E661D" w:rsidP="00AF188C">
      <w:pPr>
        <w:spacing w:after="0"/>
        <w:jc w:val="both"/>
        <w:rPr>
          <w:rFonts w:cs="Arial"/>
        </w:rPr>
      </w:pPr>
      <w:r w:rsidRPr="00D168C3">
        <w:rPr>
          <w:rFonts w:cs="Arial"/>
        </w:rPr>
        <w:t>Die Entfristung schafft daher eine stabile rechtliche Grundlage für die Umsetzung eines bundesrechtlich vorgesehenen Instruments der Gesundheitsprävention, trägt dem staatlichen Schutzauftrag für Leben und Gesundheit Rechnung und gewährleistet Planungssicherheit für Verwaltung und Träger.</w:t>
      </w:r>
    </w:p>
    <w:p w14:paraId="59F5F575" w14:textId="77777777" w:rsidR="009C5C3E" w:rsidRPr="00D168C3" w:rsidRDefault="009C5C3E" w:rsidP="00AF188C">
      <w:pPr>
        <w:spacing w:after="0"/>
        <w:jc w:val="both"/>
        <w:rPr>
          <w:rFonts w:cs="Arial"/>
        </w:rPr>
      </w:pPr>
    </w:p>
    <w:p w14:paraId="26DA892C" w14:textId="77777777" w:rsidR="009C5C3E" w:rsidRPr="00D168C3" w:rsidRDefault="009C5C3E" w:rsidP="00AF188C">
      <w:pPr>
        <w:pStyle w:val="Listenabsatz"/>
        <w:numPr>
          <w:ilvl w:val="0"/>
          <w:numId w:val="7"/>
        </w:numPr>
        <w:jc w:val="both"/>
        <w:rPr>
          <w:rFonts w:cs="Arial"/>
          <w:b/>
          <w:bCs/>
        </w:rPr>
      </w:pPr>
    </w:p>
    <w:p w14:paraId="04528AB2" w14:textId="7BCD3976" w:rsidR="009C5C3E" w:rsidRPr="00D168C3" w:rsidRDefault="009C5C3E" w:rsidP="00AF188C">
      <w:pPr>
        <w:jc w:val="both"/>
        <w:rPr>
          <w:rFonts w:cs="Arial"/>
        </w:rPr>
      </w:pPr>
      <w:r w:rsidRPr="00D168C3">
        <w:rPr>
          <w:rFonts w:cs="Arial"/>
        </w:rPr>
        <w:t xml:space="preserve">Siehe </w:t>
      </w:r>
      <w:r w:rsidR="00980C2F" w:rsidRPr="00D168C3">
        <w:rPr>
          <w:rFonts w:cs="Arial"/>
        </w:rPr>
        <w:t xml:space="preserve">Begründung Artikel </w:t>
      </w:r>
      <w:r w:rsidR="00702470" w:rsidRPr="00D168C3">
        <w:rPr>
          <w:rFonts w:cs="Arial"/>
        </w:rPr>
        <w:t>77</w:t>
      </w:r>
      <w:r w:rsidR="00980C2F" w:rsidRPr="00D168C3">
        <w:rPr>
          <w:rFonts w:cs="Arial"/>
        </w:rPr>
        <w:t xml:space="preserve">. </w:t>
      </w:r>
    </w:p>
    <w:p w14:paraId="3BB5A270" w14:textId="77777777" w:rsidR="009C5C3E" w:rsidRPr="00D168C3" w:rsidRDefault="009C5C3E" w:rsidP="00AF188C">
      <w:pPr>
        <w:pStyle w:val="Listenabsatz"/>
        <w:numPr>
          <w:ilvl w:val="0"/>
          <w:numId w:val="7"/>
        </w:numPr>
        <w:jc w:val="both"/>
        <w:rPr>
          <w:rFonts w:cs="Arial"/>
          <w:b/>
          <w:bCs/>
        </w:rPr>
      </w:pPr>
    </w:p>
    <w:p w14:paraId="10BF9F1B" w14:textId="00DBF513" w:rsidR="00980C2F" w:rsidRPr="00D168C3" w:rsidRDefault="00980C2F" w:rsidP="00AF188C">
      <w:pPr>
        <w:spacing w:after="0"/>
        <w:jc w:val="both"/>
        <w:rPr>
          <w:rFonts w:cs="Arial"/>
        </w:rPr>
      </w:pPr>
      <w:r w:rsidRPr="00D168C3">
        <w:rPr>
          <w:rFonts w:cs="Arial"/>
        </w:rPr>
        <w:t xml:space="preserve">Siehe Begründung Artikel </w:t>
      </w:r>
      <w:r w:rsidR="00702470" w:rsidRPr="00D168C3">
        <w:rPr>
          <w:rFonts w:cs="Arial"/>
        </w:rPr>
        <w:t>77</w:t>
      </w:r>
      <w:r w:rsidRPr="00D168C3">
        <w:rPr>
          <w:rFonts w:cs="Arial"/>
        </w:rPr>
        <w:t xml:space="preserve">. </w:t>
      </w:r>
    </w:p>
    <w:p w14:paraId="39F02530" w14:textId="77777777" w:rsidR="00980C2F" w:rsidRPr="00D168C3" w:rsidRDefault="00980C2F" w:rsidP="00AF188C">
      <w:pPr>
        <w:pStyle w:val="Listenabsatz"/>
        <w:ind w:left="360"/>
        <w:jc w:val="both"/>
        <w:rPr>
          <w:rFonts w:cs="Arial"/>
        </w:rPr>
      </w:pPr>
    </w:p>
    <w:p w14:paraId="03553537" w14:textId="77777777" w:rsidR="009C5C3E" w:rsidRPr="00D168C3" w:rsidRDefault="009C5C3E" w:rsidP="00AF188C">
      <w:pPr>
        <w:pStyle w:val="Listenabsatz"/>
        <w:numPr>
          <w:ilvl w:val="0"/>
          <w:numId w:val="7"/>
        </w:numPr>
        <w:jc w:val="both"/>
        <w:rPr>
          <w:rFonts w:cs="Arial"/>
          <w:b/>
          <w:bCs/>
        </w:rPr>
      </w:pPr>
    </w:p>
    <w:p w14:paraId="4FC7729C" w14:textId="15B0EE70" w:rsidR="009C5C3E" w:rsidRPr="00D168C3" w:rsidRDefault="00980C2F" w:rsidP="00AF188C">
      <w:pPr>
        <w:jc w:val="both"/>
        <w:rPr>
          <w:rFonts w:cs="Arial"/>
        </w:rPr>
      </w:pPr>
      <w:r w:rsidRPr="00D168C3">
        <w:rPr>
          <w:rFonts w:cs="Arial"/>
        </w:rPr>
        <w:t xml:space="preserve">Siehe Begründung Artikel </w:t>
      </w:r>
      <w:r w:rsidR="00702470" w:rsidRPr="00D168C3">
        <w:rPr>
          <w:rFonts w:cs="Arial"/>
        </w:rPr>
        <w:t>77</w:t>
      </w:r>
      <w:r w:rsidRPr="00D168C3">
        <w:rPr>
          <w:rFonts w:cs="Arial"/>
        </w:rPr>
        <w:t xml:space="preserve">. </w:t>
      </w:r>
    </w:p>
    <w:p w14:paraId="2896B51A" w14:textId="77777777" w:rsidR="009C5C3E" w:rsidRPr="00D168C3" w:rsidRDefault="009C5C3E" w:rsidP="00AF188C">
      <w:pPr>
        <w:pStyle w:val="Listenabsatz"/>
        <w:numPr>
          <w:ilvl w:val="0"/>
          <w:numId w:val="7"/>
        </w:numPr>
        <w:jc w:val="both"/>
        <w:rPr>
          <w:rFonts w:cs="Arial"/>
          <w:b/>
          <w:bCs/>
        </w:rPr>
      </w:pPr>
    </w:p>
    <w:p w14:paraId="74CAD481" w14:textId="37DF99FF" w:rsidR="009C5C3E" w:rsidRPr="00D168C3" w:rsidRDefault="00980C2F" w:rsidP="00AF188C">
      <w:pPr>
        <w:jc w:val="both"/>
        <w:rPr>
          <w:rFonts w:cs="Arial"/>
        </w:rPr>
      </w:pPr>
      <w:r w:rsidRPr="00D168C3">
        <w:rPr>
          <w:rFonts w:cs="Arial"/>
        </w:rPr>
        <w:t xml:space="preserve">Siehe Begründung Artikel </w:t>
      </w:r>
      <w:r w:rsidR="00702470" w:rsidRPr="00D168C3">
        <w:rPr>
          <w:rFonts w:cs="Arial"/>
        </w:rPr>
        <w:t>77</w:t>
      </w:r>
      <w:r w:rsidRPr="00D168C3">
        <w:rPr>
          <w:rFonts w:cs="Arial"/>
        </w:rPr>
        <w:t xml:space="preserve">. </w:t>
      </w:r>
    </w:p>
    <w:p w14:paraId="2C17B655" w14:textId="77777777" w:rsidR="009C5C3E" w:rsidRPr="00D168C3" w:rsidRDefault="009C5C3E" w:rsidP="00AF188C">
      <w:pPr>
        <w:pStyle w:val="Listenabsatz"/>
        <w:numPr>
          <w:ilvl w:val="0"/>
          <w:numId w:val="7"/>
        </w:numPr>
        <w:jc w:val="both"/>
        <w:rPr>
          <w:rFonts w:cs="Arial"/>
          <w:b/>
          <w:bCs/>
        </w:rPr>
      </w:pPr>
    </w:p>
    <w:p w14:paraId="4292CCB9" w14:textId="26678709" w:rsidR="009C5C3E" w:rsidRPr="00D168C3" w:rsidRDefault="00980C2F" w:rsidP="00AF188C">
      <w:pPr>
        <w:jc w:val="both"/>
        <w:rPr>
          <w:rFonts w:cs="Arial"/>
        </w:rPr>
      </w:pPr>
      <w:r w:rsidRPr="00D168C3">
        <w:rPr>
          <w:rFonts w:cs="Arial"/>
        </w:rPr>
        <w:t xml:space="preserve">Siehe Begründung Artikel </w:t>
      </w:r>
      <w:r w:rsidR="00702470" w:rsidRPr="00D168C3">
        <w:rPr>
          <w:rFonts w:cs="Arial"/>
        </w:rPr>
        <w:t>77</w:t>
      </w:r>
      <w:r w:rsidRPr="00D168C3">
        <w:rPr>
          <w:rFonts w:cs="Arial"/>
        </w:rPr>
        <w:t xml:space="preserve">. </w:t>
      </w:r>
    </w:p>
    <w:p w14:paraId="626D3280" w14:textId="77777777" w:rsidR="009C5C3E" w:rsidRPr="00D168C3" w:rsidRDefault="009C5C3E" w:rsidP="00AF188C">
      <w:pPr>
        <w:pStyle w:val="Listenabsatz"/>
        <w:numPr>
          <w:ilvl w:val="0"/>
          <w:numId w:val="7"/>
        </w:numPr>
        <w:jc w:val="both"/>
        <w:rPr>
          <w:rFonts w:cs="Arial"/>
          <w:b/>
          <w:bCs/>
        </w:rPr>
      </w:pPr>
    </w:p>
    <w:p w14:paraId="5B143328" w14:textId="6D4290C1" w:rsidR="009C5C3E" w:rsidRPr="00D168C3" w:rsidRDefault="00980C2F" w:rsidP="00AF188C">
      <w:pPr>
        <w:jc w:val="both"/>
        <w:rPr>
          <w:rFonts w:cs="Arial"/>
        </w:rPr>
      </w:pPr>
      <w:r w:rsidRPr="00D168C3">
        <w:rPr>
          <w:rFonts w:cs="Arial"/>
        </w:rPr>
        <w:t xml:space="preserve">Siehe Begründung Artikel </w:t>
      </w:r>
      <w:r w:rsidR="00702470" w:rsidRPr="00D168C3">
        <w:rPr>
          <w:rFonts w:cs="Arial"/>
        </w:rPr>
        <w:t>77</w:t>
      </w:r>
      <w:r w:rsidRPr="00D168C3">
        <w:rPr>
          <w:rFonts w:cs="Arial"/>
        </w:rPr>
        <w:t xml:space="preserve">. </w:t>
      </w:r>
    </w:p>
    <w:p w14:paraId="717C0344" w14:textId="77777777" w:rsidR="001901D6" w:rsidRPr="00D168C3" w:rsidRDefault="001901D6" w:rsidP="00AF188C">
      <w:pPr>
        <w:pStyle w:val="Listenabsatz"/>
        <w:numPr>
          <w:ilvl w:val="0"/>
          <w:numId w:val="7"/>
        </w:numPr>
        <w:jc w:val="both"/>
        <w:rPr>
          <w:rFonts w:cs="Arial"/>
          <w:b/>
          <w:bCs/>
        </w:rPr>
      </w:pPr>
    </w:p>
    <w:p w14:paraId="26CF4075" w14:textId="1B137B20" w:rsidR="001901D6" w:rsidRPr="00D168C3" w:rsidRDefault="00980C2F" w:rsidP="00AF188C">
      <w:pPr>
        <w:jc w:val="both"/>
        <w:rPr>
          <w:rFonts w:cs="Arial"/>
        </w:rPr>
      </w:pPr>
      <w:r w:rsidRPr="00D168C3">
        <w:rPr>
          <w:rFonts w:cs="Arial"/>
        </w:rPr>
        <w:t xml:space="preserve">Siehe Begründung Artikel </w:t>
      </w:r>
      <w:r w:rsidR="00702470" w:rsidRPr="00D168C3">
        <w:rPr>
          <w:rFonts w:cs="Arial"/>
        </w:rPr>
        <w:t>77</w:t>
      </w:r>
      <w:r w:rsidRPr="00D168C3">
        <w:rPr>
          <w:rFonts w:cs="Arial"/>
        </w:rPr>
        <w:t xml:space="preserve">. </w:t>
      </w:r>
    </w:p>
    <w:p w14:paraId="52E11F93" w14:textId="77777777" w:rsidR="006129BF" w:rsidRPr="00D168C3" w:rsidRDefault="006129BF" w:rsidP="00AF188C">
      <w:pPr>
        <w:pStyle w:val="Listenabsatz"/>
        <w:numPr>
          <w:ilvl w:val="0"/>
          <w:numId w:val="7"/>
        </w:numPr>
        <w:jc w:val="both"/>
        <w:rPr>
          <w:rFonts w:cs="Arial"/>
          <w:b/>
          <w:bCs/>
        </w:rPr>
      </w:pPr>
    </w:p>
    <w:p w14:paraId="5F1B4965" w14:textId="77777777" w:rsidR="006B4DC6" w:rsidRPr="00D168C3" w:rsidRDefault="006B4DC6" w:rsidP="00AF188C">
      <w:pPr>
        <w:spacing w:after="0"/>
        <w:jc w:val="both"/>
        <w:rPr>
          <w:rFonts w:cs="Arial"/>
        </w:rPr>
      </w:pPr>
      <w:r w:rsidRPr="00D168C3">
        <w:rPr>
          <w:rFonts w:cs="Arial"/>
        </w:rPr>
        <w:t>Zu Nummer 1:</w:t>
      </w:r>
    </w:p>
    <w:p w14:paraId="45063FEF" w14:textId="069CAD69" w:rsidR="006B4DC6" w:rsidRPr="00D168C3" w:rsidRDefault="006B4DC6" w:rsidP="00AF188C">
      <w:pPr>
        <w:jc w:val="both"/>
        <w:rPr>
          <w:rFonts w:cs="Arial"/>
        </w:rPr>
      </w:pPr>
      <w:r w:rsidRPr="00D168C3">
        <w:rPr>
          <w:rFonts w:cs="Arial"/>
        </w:rPr>
        <w:t>Klarstellung aufgrund der Regelung in § 3a VwVfG M-V.</w:t>
      </w:r>
    </w:p>
    <w:p w14:paraId="1C793E54" w14:textId="77777777" w:rsidR="006B4DC6" w:rsidRPr="00D168C3" w:rsidRDefault="006B4DC6" w:rsidP="00AF188C">
      <w:pPr>
        <w:spacing w:after="0"/>
        <w:jc w:val="both"/>
        <w:rPr>
          <w:rFonts w:cs="Arial"/>
        </w:rPr>
      </w:pPr>
      <w:r w:rsidRPr="005A2A9B">
        <w:rPr>
          <w:rFonts w:cs="Arial"/>
        </w:rPr>
        <w:t>Zu Nummer 2:</w:t>
      </w:r>
    </w:p>
    <w:p w14:paraId="5F1DED7F" w14:textId="77777777" w:rsidR="00355BF3" w:rsidRDefault="00355BF3" w:rsidP="00355BF3">
      <w:pPr>
        <w:spacing w:after="0"/>
        <w:jc w:val="both"/>
        <w:rPr>
          <w:rFonts w:cs="Arial"/>
        </w:rPr>
      </w:pPr>
      <w:r w:rsidRPr="00A83880">
        <w:rPr>
          <w:rFonts w:cs="Arial"/>
        </w:rPr>
        <w:t>Die Unterstützung der Betreuungsvereine erfolgt durch einen konstitutiven Festsetzungsbescheid für einen bestimmten Unterstützungszeitraum. Mit diesem Bescheid werden Art, Umfang und Höhe der Grund- und Zusatzausstattung abschließend bestimmt. Die Entscheidung ist nicht lediglich formaler Natur, sondern erfordert eine umfassende Prüfung der tatbestandlichen Voraussetzungen nach § 2 sowie der für die Bemessung maßgeblichen Angaben und Bestätigungen nach §§ 3 und 4.</w:t>
      </w:r>
      <w:r>
        <w:rPr>
          <w:rFonts w:cs="Arial"/>
        </w:rPr>
        <w:t xml:space="preserve"> </w:t>
      </w:r>
      <w:r w:rsidRPr="00A83880">
        <w:rPr>
          <w:rFonts w:cs="Arial"/>
        </w:rPr>
        <w:t xml:space="preserve"> Eine Genehmigungsfiktion würde dazu führen, dass eine verbindliche Mittelbindung allein durch Fristablauf eintritt, ohne dass eine abschließende </w:t>
      </w:r>
      <w:r>
        <w:rPr>
          <w:rFonts w:cs="Arial"/>
        </w:rPr>
        <w:t xml:space="preserve">inhaltliche </w:t>
      </w:r>
      <w:r w:rsidRPr="00A83880">
        <w:rPr>
          <w:rFonts w:cs="Arial"/>
        </w:rPr>
        <w:t>Prüfung erfolgt ist. Dies wäre mit</w:t>
      </w:r>
      <w:r w:rsidRPr="00935F92">
        <w:rPr>
          <w:rFonts w:cs="Arial"/>
        </w:rPr>
        <w:t xml:space="preserve"> </w:t>
      </w:r>
      <w:r>
        <w:rPr>
          <w:rFonts w:cs="Arial"/>
        </w:rPr>
        <w:t>bestehenden Haushaltsvorbehalt (§ 4 Absatz 1 AG BtG)</w:t>
      </w:r>
      <w:r w:rsidRPr="00A83880">
        <w:rPr>
          <w:rFonts w:cs="Arial"/>
        </w:rPr>
        <w:t xml:space="preserve"> nicht vereinbar.</w:t>
      </w:r>
      <w:r>
        <w:rPr>
          <w:rFonts w:cs="Arial"/>
        </w:rPr>
        <w:t xml:space="preserve"> </w:t>
      </w:r>
    </w:p>
    <w:p w14:paraId="029E4443" w14:textId="4E0C134E" w:rsidR="00A83880" w:rsidRPr="00D168C3" w:rsidRDefault="00355BF3" w:rsidP="00355BF3">
      <w:pPr>
        <w:jc w:val="both"/>
        <w:rPr>
          <w:rFonts w:cs="Arial"/>
        </w:rPr>
      </w:pPr>
      <w:r w:rsidRPr="00A83880">
        <w:rPr>
          <w:rFonts w:cs="Arial"/>
        </w:rPr>
        <w:lastRenderedPageBreak/>
        <w:t>Hinzu kommt, dass die Unterstützungssystematik auf einer differenzierten Berechnung von Grund- und Zusatzausstattung beruht</w:t>
      </w:r>
      <w:r>
        <w:rPr>
          <w:rFonts w:cs="Arial"/>
        </w:rPr>
        <w:t xml:space="preserve">. </w:t>
      </w:r>
      <w:r w:rsidRPr="00494096">
        <w:rPr>
          <w:rFonts w:cs="Arial"/>
        </w:rPr>
        <w:t xml:space="preserve">Die </w:t>
      </w:r>
      <w:r>
        <w:rPr>
          <w:rFonts w:cs="Arial"/>
        </w:rPr>
        <w:t>Höhe der Zusatzausstattung ist zum Teil</w:t>
      </w:r>
      <w:r w:rsidRPr="00494096">
        <w:rPr>
          <w:rFonts w:cs="Arial"/>
        </w:rPr>
        <w:t xml:space="preserve"> </w:t>
      </w:r>
      <w:r>
        <w:rPr>
          <w:rFonts w:cs="Arial"/>
        </w:rPr>
        <w:t>aufgrund des Haushaltsvo</w:t>
      </w:r>
      <w:r w:rsidRPr="00494096">
        <w:rPr>
          <w:rFonts w:cs="Arial"/>
        </w:rPr>
        <w:t>rbehalt</w:t>
      </w:r>
      <w:r>
        <w:rPr>
          <w:rFonts w:cs="Arial"/>
        </w:rPr>
        <w:t>es</w:t>
      </w:r>
      <w:r w:rsidRPr="00494096">
        <w:rPr>
          <w:rFonts w:cs="Arial"/>
        </w:rPr>
        <w:t xml:space="preserve"> </w:t>
      </w:r>
      <w:r>
        <w:rPr>
          <w:rFonts w:cs="Arial"/>
        </w:rPr>
        <w:t xml:space="preserve">nach </w:t>
      </w:r>
      <w:r w:rsidRPr="00494096">
        <w:rPr>
          <w:rFonts w:cs="Arial"/>
        </w:rPr>
        <w:t>§ 4 Absatz 1 AG BtG</w:t>
      </w:r>
      <w:r>
        <w:rPr>
          <w:rFonts w:cs="Arial"/>
        </w:rPr>
        <w:t xml:space="preserve"> flexibel und konkret festzustellen</w:t>
      </w:r>
      <w:r w:rsidRPr="00494096">
        <w:rPr>
          <w:rFonts w:cs="Arial"/>
        </w:rPr>
        <w:t xml:space="preserve">. </w:t>
      </w:r>
      <w:r w:rsidRPr="00A83880">
        <w:rPr>
          <w:rFonts w:cs="Arial"/>
        </w:rPr>
        <w:t xml:space="preserve"> Die Entscheidung ist damit in ein dynamisches Finanzierungsmodell eingebettet. Eine automatische Festsetzung kraft Fristablaufs könnte zu Über- oder Fehlbindungen von Haushaltsmitteln führen.</w:t>
      </w:r>
      <w:r>
        <w:rPr>
          <w:rFonts w:cs="Arial"/>
        </w:rPr>
        <w:t xml:space="preserve"> Nur d</w:t>
      </w:r>
      <w:r w:rsidRPr="00A83880">
        <w:rPr>
          <w:rFonts w:cs="Arial"/>
        </w:rPr>
        <w:t xml:space="preserve">er Ausschluss der Genehmigungsfiktion stellt sicher, dass die </w:t>
      </w:r>
      <w:r>
        <w:rPr>
          <w:rFonts w:cs="Arial"/>
        </w:rPr>
        <w:t>Höhe der</w:t>
      </w:r>
      <w:r w:rsidRPr="00A83880">
        <w:rPr>
          <w:rFonts w:cs="Arial"/>
        </w:rPr>
        <w:t xml:space="preserve"> Unterstützung ausschließlich nach abschließender Prüfung der gesetzlichen Voraussetzungen</w:t>
      </w:r>
      <w:r>
        <w:rPr>
          <w:rFonts w:cs="Arial"/>
        </w:rPr>
        <w:t xml:space="preserve"> </w:t>
      </w:r>
      <w:r w:rsidRPr="00A83880">
        <w:rPr>
          <w:rFonts w:cs="Arial"/>
        </w:rPr>
        <w:t>festgesetzt wird</w:t>
      </w:r>
      <w:r w:rsidRPr="000207A0">
        <w:rPr>
          <w:rFonts w:cs="Arial"/>
        </w:rPr>
        <w:t xml:space="preserve"> </w:t>
      </w:r>
      <w:r>
        <w:rPr>
          <w:rFonts w:cs="Arial"/>
        </w:rPr>
        <w:t>und die haushaltsrechtlichen Vorgaben gewahrt werden</w:t>
      </w:r>
      <w:r w:rsidRPr="00A83880">
        <w:rPr>
          <w:rFonts w:cs="Arial"/>
        </w:rPr>
        <w:t>.</w:t>
      </w:r>
    </w:p>
    <w:p w14:paraId="30E82AE5" w14:textId="77777777" w:rsidR="00702470" w:rsidRPr="00D168C3" w:rsidRDefault="00702470" w:rsidP="00702470">
      <w:pPr>
        <w:pStyle w:val="Listenabsatz"/>
        <w:numPr>
          <w:ilvl w:val="0"/>
          <w:numId w:val="7"/>
        </w:numPr>
        <w:jc w:val="both"/>
        <w:rPr>
          <w:rFonts w:cs="Arial"/>
          <w:b/>
          <w:bCs/>
        </w:rPr>
      </w:pPr>
    </w:p>
    <w:p w14:paraId="23C56B04" w14:textId="73A1B251" w:rsidR="00702470" w:rsidRPr="00D168C3" w:rsidRDefault="00702470" w:rsidP="00702470">
      <w:pPr>
        <w:jc w:val="both"/>
        <w:rPr>
          <w:rFonts w:cs="Arial"/>
        </w:rPr>
      </w:pPr>
      <w:r w:rsidRPr="00D168C3">
        <w:rPr>
          <w:rFonts w:cs="Arial"/>
        </w:rPr>
        <w:t>§ 8 Absatz 5 Satz 2 des Kinder- und Jugendförderungsgesetzes (KJfG M-V) ermächtigt die Landesregierung, durch Rechtsverordnung Näheres sowohl über die Voraus-setzungen und das Verfahren der Freistellung ehrenamtlich tätiger Personen nach Absatz 1 sowie zur Gesamthöhe der zu diesem Zweck bereitzustellenden Landesmittel (Nummer 1 und 2) als auch über die Voraussetzungen, das Verfahren und den Umfang der Arbeitsentgelterstattung (Nummer 3) zu regeln. Die Freistellung von der Arbeit für ehrenamtlich tätige Personen ist für die Durchführung sozialer Aktivitäten im Bereich der Jugendarbeit und Jugendverbandsarbeit gemäß der §§ 11 und 12 des Achten Buches Sozialgesetzbuch (SGB VIII) von erheblicher Bedeutung. Durch die Freistellungsverordnung (FrStVO M-V) wird es ermöglicht, dass ehrenamtlich tätige Personen in diesem Bereich keine beruflichen sowie Arbeitgeberinnen und Arbeitgeber keine wirtschaftlichen Nachteile von der Freistellung erleiden. Der Entwurf der neugefassten FrStVO M-V dient der konstitutiven Neuregelung der Verordnung über Voraussetzungen, Verfahren und Umfang der Freistellung und der Arbeitsentgelterstattung sowie über die Höhe der zu diesem Zweck bereitzustellenden Landesmittel vom 27. Januar 1998. Die Neufassung der Verordnung zielt darauf ab, die Bestimmungen an die gegenwärtigen Anforderungen anzupassen. Sie dient vorrangig der Verwaltungsvereinfachung – insbesondere    der Vereinfachung des Verfahrens für die Bewilligungsbehörde und die Antragstellenden – sowie der Ver-besserung der Kosteneffizienz im Rahmen der Bewirtschaftung der zur Verfügung stehenden Haushaltsmittel. Darüber hinaus erfolgen redaktionelle Anpassungen sowie die sprachliche Gleich-stellung von Geschlechtern. Da die Anpassungen gegenüber der bisherigen FrStVO M-V annähernd alle Normen der Verordnung umfassen, soll diese in Gänze neugefasst und nicht lediglich geändert werden.</w:t>
      </w:r>
    </w:p>
    <w:p w14:paraId="67A72C3A" w14:textId="77777777" w:rsidR="00702470" w:rsidRPr="00D168C3" w:rsidRDefault="00702470" w:rsidP="00702470">
      <w:pPr>
        <w:jc w:val="both"/>
        <w:rPr>
          <w:rFonts w:cs="Arial"/>
        </w:rPr>
      </w:pPr>
      <w:r w:rsidRPr="00D168C3">
        <w:rPr>
          <w:rFonts w:cs="Arial"/>
        </w:rPr>
        <w:t>Zu § 1</w:t>
      </w:r>
    </w:p>
    <w:p w14:paraId="4930684E" w14:textId="77777777" w:rsidR="00702470" w:rsidRPr="00D168C3" w:rsidRDefault="00702470" w:rsidP="00702470">
      <w:pPr>
        <w:jc w:val="both"/>
        <w:rPr>
          <w:rFonts w:cs="Arial"/>
        </w:rPr>
      </w:pPr>
      <w:r w:rsidRPr="00D168C3">
        <w:rPr>
          <w:rFonts w:cs="Arial"/>
        </w:rPr>
        <w:t xml:space="preserve">§ 1 regelt das Verfahren der Freistellung der ehrenamtlich tätigen Person bei der arbeitgebenden Stelle. Dieses Verfahren ist Voraussetzung für die Erstattung des Arbeitsentgelts sowie der Sozialleistungen der arbeitgebenden Stelle beim Landesamt für Gesundheit und Soziales M-V (LAGuS M-V) nach § 2 FrStVO M-V. </w:t>
      </w:r>
    </w:p>
    <w:p w14:paraId="1B9341D0" w14:textId="77777777" w:rsidR="00702470" w:rsidRPr="00D168C3" w:rsidRDefault="00702470" w:rsidP="00702470">
      <w:pPr>
        <w:spacing w:after="0"/>
        <w:jc w:val="both"/>
        <w:rPr>
          <w:rFonts w:cs="Arial"/>
        </w:rPr>
      </w:pPr>
      <w:r w:rsidRPr="00D168C3">
        <w:rPr>
          <w:rFonts w:cs="Arial"/>
        </w:rPr>
        <w:t>Absatz 1</w:t>
      </w:r>
    </w:p>
    <w:p w14:paraId="02BF73F8" w14:textId="1FED6EA5" w:rsidR="00702470" w:rsidRPr="00D168C3" w:rsidRDefault="00702470" w:rsidP="00702470">
      <w:pPr>
        <w:jc w:val="both"/>
        <w:rPr>
          <w:rFonts w:cs="Arial"/>
        </w:rPr>
      </w:pPr>
      <w:r w:rsidRPr="00D168C3">
        <w:rPr>
          <w:rFonts w:cs="Arial"/>
        </w:rPr>
        <w:t>Absatz 1 benennt dabei die Anforderungen an den Antrag auf Freistellung der ehrenamtlich tätigen Person bei der arbeitgebenden Stelle.</w:t>
      </w:r>
    </w:p>
    <w:p w14:paraId="05D0B31C" w14:textId="77777777" w:rsidR="00702470" w:rsidRPr="00D168C3" w:rsidRDefault="00702470" w:rsidP="00702470">
      <w:pPr>
        <w:spacing w:after="0"/>
        <w:jc w:val="both"/>
        <w:rPr>
          <w:rFonts w:cs="Arial"/>
        </w:rPr>
      </w:pPr>
      <w:r w:rsidRPr="00D168C3">
        <w:rPr>
          <w:rFonts w:cs="Arial"/>
        </w:rPr>
        <w:t>Absatz 2</w:t>
      </w:r>
    </w:p>
    <w:p w14:paraId="246FE34A" w14:textId="72BA606B" w:rsidR="00702470" w:rsidRPr="00D168C3" w:rsidRDefault="00702470" w:rsidP="00702470">
      <w:pPr>
        <w:jc w:val="both"/>
        <w:rPr>
          <w:rFonts w:cs="Arial"/>
        </w:rPr>
      </w:pPr>
      <w:r w:rsidRPr="00D168C3">
        <w:rPr>
          <w:rFonts w:cs="Arial"/>
        </w:rPr>
        <w:t xml:space="preserve">In Absatz 2 wird geregelt, dass die arbeitgebende Stelle die Genehmigung oder Ablehnung der Freistellung gegenüber der ehrenamtlich tätigen Person mitteilen muss. Die Änderungen in der Vorschrift dienen überwiegend der Umsetzung von § 4 Absatz 2 des </w:t>
      </w:r>
      <w:r w:rsidRPr="00D168C3">
        <w:rPr>
          <w:rFonts w:cs="Arial"/>
        </w:rPr>
        <w:lastRenderedPageBreak/>
        <w:t>Gleichstellungsgesetzes (GlG M-V), wonach Rechts- und Verwaltungsvorschriften die Gleichstellung von Frauen und Männern auch sprachlich zum Ausdruck bringen sollen.</w:t>
      </w:r>
    </w:p>
    <w:p w14:paraId="13AD28AA" w14:textId="7311D6B7" w:rsidR="00702470" w:rsidRPr="00D168C3" w:rsidRDefault="00702470" w:rsidP="00702470">
      <w:pPr>
        <w:jc w:val="both"/>
        <w:rPr>
          <w:rFonts w:cs="Arial"/>
        </w:rPr>
      </w:pPr>
      <w:r w:rsidRPr="00D168C3">
        <w:rPr>
          <w:rFonts w:cs="Arial"/>
        </w:rPr>
        <w:t>Zu § 2</w:t>
      </w:r>
    </w:p>
    <w:p w14:paraId="74FDAD97" w14:textId="77777777" w:rsidR="00702470" w:rsidRPr="00D168C3" w:rsidRDefault="00702470" w:rsidP="00702470">
      <w:pPr>
        <w:spacing w:after="0"/>
        <w:jc w:val="both"/>
        <w:rPr>
          <w:rFonts w:cs="Arial"/>
        </w:rPr>
      </w:pPr>
      <w:r w:rsidRPr="00D168C3">
        <w:rPr>
          <w:rFonts w:cs="Arial"/>
        </w:rPr>
        <w:t>Absatz 1 bis 6</w:t>
      </w:r>
    </w:p>
    <w:p w14:paraId="42F95DA9" w14:textId="77777777" w:rsidR="00702470" w:rsidRPr="00D168C3" w:rsidRDefault="00702470" w:rsidP="00702470">
      <w:pPr>
        <w:jc w:val="both"/>
        <w:rPr>
          <w:rFonts w:cs="Arial"/>
        </w:rPr>
      </w:pPr>
      <w:r w:rsidRPr="00D168C3">
        <w:rPr>
          <w:rFonts w:cs="Arial"/>
        </w:rPr>
        <w:t>Absatz 1 regelt das Verfahren zur Antragsstellung für die Erstattung des Arbeitsentgelts einschließlich der Sozialleistungen durch die arbeitgebende Stelle beim LAGuS M-V. Die Schriftform wird dabei nicht vorgeben. Damit wird die Novellierung der Verwaltungsvorschrift zu § 44 Landeshaushaltsordnung Mecklenburg-Vorpommern (LHO) berücksichtigt, welche das Schriftformerfordernis in Nummer 3.1 der VV zu § 44 LHO streicht. Danach soll es für die Bewilligung einer Zuwendung nicht mehr eines schriftlichen Antrags benötigen. Die Einführung des Wortes „unverzüglich“ dient der Beschleunigung des Zuwendungsverfahrens. Dadurch wird eine gesteigerte Effizienz im Bearbeitungsablauf durch die Bewilligungsbehörde sowie eine vereinfachte Kostenkontrolle durch bessere Planbarkeit des Mittelabflusses erreicht. Das LAGuS M-V wird als zuständige Behörde benannt, was der bisherigen Sachlage seit dem Jahr 2012 entspricht. Das LAGuS M-V ist gemäß § 1 Nummer 5 LAGuS-Aufgabenübertragungslandesverordnung (LAGuS-AÜLVO M-V) für die Umsetzung der Maßnahmen und Projekten nach § 8 des KJfG M-V zuständig. In der bisherigen FrStVO wird das Landesjugendamt als zuständige Stelle benannt, welches früher auch beim LAGuS M-V angesiedelt war. Mit dem zum 1. Dezember 2012 in Kraft getretenen Aufgabenzuordnungsgesetz M-V wurden dem Kommunalen Sozialverband M-V die Aufgaben des Landesjugendamtes als dem überörtlichen Träger der öffentlichen Jugendhilfe übertragen. Einzelne Aufgaben – darunter auch die Umsetzung der FrStVO M-V – verblieben jedoch beim LAGuS M-V. Die neugefasste FrStVO M-V berücksichtigt dies nun und benennt zutreffend das LAGuS M-V als zuständige Bewilligungsbehörde.</w:t>
      </w:r>
    </w:p>
    <w:p w14:paraId="738AF422" w14:textId="77777777" w:rsidR="00702470" w:rsidRPr="00D168C3" w:rsidRDefault="00702470" w:rsidP="00702470">
      <w:pPr>
        <w:jc w:val="both"/>
        <w:rPr>
          <w:rFonts w:cs="Arial"/>
        </w:rPr>
      </w:pPr>
      <w:r w:rsidRPr="00D168C3">
        <w:rPr>
          <w:rFonts w:cs="Arial"/>
        </w:rPr>
        <w:t xml:space="preserve">Absatz 2 Satz 1 regelt die Berechnung der Höhe des zu erstattenden Arbeitsentgelts. Die Berechnung erfolgt auf Basis der üblichen Wochenarbeitszeit. Satz 2 verhindert, dass eine ehrenamtlich tätige Person durch das erstattete Arbeits-entgelt sowie eine zusätzliche gleichwertige Leistung vom Träger übermäßig entschädigt wird. Der neue Satz 3 führt zu einer Deckelung der erstattungsfähigen Arbeitsentgelte. Insbesondere Anträge von Personen mit hohem Einkommen haben in der Vergangenheit zu einer erheblichen Reduzierung der insgesamt zur Verfügung stehenden Haushaltsmittel zulasten anderer ehrenamtlich tätiger Personen geführt. In diesen Konstellationen waren im Jahr 2024 Erstattungen von bis zu rund 2.700,00 Euro pro Tag zu verzeichnen. Der nunmehr eingeführte Höchstbetrag orientiert sich dabei am durchschnittlichen Erstattungswert, der derzeit bei etwa 205,00 Euro pro Tag liegt. Um die Förderung weiterhin attraktiv zu gestalten und die Erstattung nicht zu stark zu begrenzen, dabei ein gewisser Spielraum nach oben geboten, wodurch ein Großteil der Anträge abgedeckt werden kann, überproportional hohe Bewilligungssummen jedoch gleichermaßen vermieden werden. Die Regelung soll zu einer breiteren Verteilung des Ansatzes zugunsten aller am Arbeitsmarkt tätigen Personen beitragen. </w:t>
      </w:r>
    </w:p>
    <w:p w14:paraId="34C4B117" w14:textId="77777777" w:rsidR="00702470" w:rsidRPr="00D168C3" w:rsidRDefault="00702470" w:rsidP="00702470">
      <w:pPr>
        <w:jc w:val="both"/>
        <w:rPr>
          <w:rFonts w:cs="Arial"/>
        </w:rPr>
      </w:pPr>
      <w:r w:rsidRPr="00D168C3">
        <w:rPr>
          <w:rFonts w:cs="Arial"/>
        </w:rPr>
        <w:t xml:space="preserve">Durch Streichung des bisherigen Absatz 3 muss die Entscheidung über den Antrag auf Arbeitsentgelterstattung durch das LAGuS M-V nicht mehr zwingend schriftlich erfolgen. Das LAGuS M-V strebt zur Reduzierung des Bürokratieaufwands ein digitales Bewilligungsverfahren an, wodurch Bescheide mit einer bloßen Namenswiedergabe und ohne Unterschrift ermöglicht werden. Dies dient der Verwaltungsvereinfachung für das LAGuS M-V. Der neugefasste Absatz 3 verpflichtet den Träger der ehrenamtlichen Maßnahme zur </w:t>
      </w:r>
      <w:r w:rsidRPr="00D168C3">
        <w:rPr>
          <w:rFonts w:cs="Arial"/>
        </w:rPr>
        <w:lastRenderedPageBreak/>
        <w:t>Bestätigung der Durchführung und Teilnahme der ehrenamtlich tätigen Person an dieser Maßnahme gegenüber dem LAGuS M-V.</w:t>
      </w:r>
    </w:p>
    <w:p w14:paraId="78CA9931" w14:textId="77777777" w:rsidR="00702470" w:rsidRPr="00D168C3" w:rsidRDefault="00702470" w:rsidP="00702470">
      <w:pPr>
        <w:jc w:val="both"/>
        <w:rPr>
          <w:rFonts w:cs="Arial"/>
        </w:rPr>
      </w:pPr>
      <w:r w:rsidRPr="00D168C3">
        <w:rPr>
          <w:rFonts w:cs="Arial"/>
        </w:rPr>
        <w:t>Absatz 4 legt die Voraussetzungen für die Arbeitsentgelterstattung durch das LAGuS M-V fest. Das LAGuS M-V entscheidet dabei über den Antrag der arbeitgebende Stelle auf Erstattung des Arbeitsentgelts und ist für die Durchführung der Auszahlung im Rahmen der zur Verfügung stehenden Haushaltsmittel verantwortlich.</w:t>
      </w:r>
    </w:p>
    <w:p w14:paraId="0F63E4D7" w14:textId="77777777" w:rsidR="00702470" w:rsidRPr="00D168C3" w:rsidRDefault="00702470" w:rsidP="00702470">
      <w:pPr>
        <w:jc w:val="both"/>
        <w:rPr>
          <w:rFonts w:cs="Arial"/>
        </w:rPr>
      </w:pPr>
      <w:r w:rsidRPr="00D168C3">
        <w:rPr>
          <w:rFonts w:cs="Arial"/>
        </w:rPr>
        <w:t>Der neu eingefügte Absatz 6 dient einerseits zur Klarstellung des Ablaufs des Zuwendungsverfahrens. Anderseits wird dieses Verfahren durch die Einführung einer Drei-Monats-Frist beschleunigt, sodass eine gesteigerte Effizienz im Bearbeitungsablauf durch die Bewilligungsbehörde sowie eine vereinfachte Kostenkontrolle durch bessere Planbarkeit des Mittelabflusses erreicht wird. Die Ausschlussfrist für die Beantragung dient daher der Planungssicherheit und Verbrauchskontrolle für die Bewilligungsbehörde im jeweiligen Haushaltsjahr, da nach dem bisherigen Verfahren eine überproportionale Antragslage zum Jahresende zu verzeichnen ist.</w:t>
      </w:r>
    </w:p>
    <w:p w14:paraId="064EBF49" w14:textId="77777777" w:rsidR="00702470" w:rsidRPr="00D168C3" w:rsidRDefault="00702470" w:rsidP="00702470">
      <w:pPr>
        <w:jc w:val="both"/>
        <w:rPr>
          <w:rFonts w:cs="Arial"/>
        </w:rPr>
      </w:pPr>
      <w:r w:rsidRPr="00D168C3">
        <w:rPr>
          <w:rFonts w:cs="Arial"/>
        </w:rPr>
        <w:t>Durch den neuen Absatz 6 wird nunmehr ausdrücklich geregelt, dass die Absätze 1 bis 4 auch auf die ehrenamtliche Tätigkeit selbstständig tätiger Personen Anwendung finden. Dies entspricht der bisherigen Verwaltungspraxis.</w:t>
      </w:r>
    </w:p>
    <w:p w14:paraId="160D0952" w14:textId="77777777" w:rsidR="00702470" w:rsidRPr="00D168C3" w:rsidRDefault="00702470" w:rsidP="00702470">
      <w:pPr>
        <w:jc w:val="both"/>
        <w:rPr>
          <w:rFonts w:cs="Arial"/>
        </w:rPr>
      </w:pPr>
      <w:r w:rsidRPr="00D168C3">
        <w:rPr>
          <w:rFonts w:cs="Arial"/>
        </w:rPr>
        <w:t>Zu § 3</w:t>
      </w:r>
    </w:p>
    <w:p w14:paraId="0D2B524E" w14:textId="77777777" w:rsidR="00702470" w:rsidRPr="00D168C3" w:rsidRDefault="00702470" w:rsidP="00702470">
      <w:pPr>
        <w:jc w:val="both"/>
        <w:rPr>
          <w:rFonts w:cs="Arial"/>
        </w:rPr>
      </w:pPr>
      <w:r w:rsidRPr="00D168C3">
        <w:rPr>
          <w:rFonts w:cs="Arial"/>
        </w:rPr>
        <w:t xml:space="preserve">Die Vorschrift regelt die Gesamthöhe der jährlich zur Verfügung stehenden Haushaltsmittel des Landes. Die ursprüngliche FrStVO M-V enthielt die Angabe von 500.000 Deutsche Mark. Die Umrechnung in Euro ergibt einen Betrag in Höhe von rund 255.600 Euro. Die Neufassung der Verordnung hat keine über den aktuellen Status Quo hinausgehenden Auswirkungen auf den Landeshaushalt, da sie im Wesentlichen der Anpassung bestehender Regelungen dient, ohne finanzrelevante Standards zu erhöhen. Die Arbeitsentgelterstattung gemäß § 8 KJfG M-V erfolgt aus Haushaltsmitteln, welche ihre gesetzliche Grundlage in § 6 Absatz 1 Satz 1 KJfG M-V i. V. m. § 1 Absatz 1 der Kinder- und Jugendförderungsverordnung (KJfVO M-V) haben, von denen entsprechend der Verordnung unverändert 255.600,00 Euro für die Arbeitsentgelterstattung zur Verfügung gestellt werden sollen. </w:t>
      </w:r>
    </w:p>
    <w:p w14:paraId="4AFAA53E" w14:textId="77777777" w:rsidR="00454ED3" w:rsidRPr="00D168C3" w:rsidRDefault="00454ED3" w:rsidP="00454ED3">
      <w:pPr>
        <w:pStyle w:val="Listenabsatz"/>
        <w:numPr>
          <w:ilvl w:val="0"/>
          <w:numId w:val="7"/>
        </w:numPr>
        <w:jc w:val="both"/>
        <w:rPr>
          <w:rFonts w:cs="Arial"/>
          <w:b/>
          <w:bCs/>
        </w:rPr>
      </w:pPr>
    </w:p>
    <w:p w14:paraId="0492CAB2" w14:textId="77FB7A51" w:rsidR="00454ED3" w:rsidRDefault="00454ED3" w:rsidP="00454ED3">
      <w:pPr>
        <w:spacing w:after="0"/>
        <w:jc w:val="both"/>
        <w:rPr>
          <w:rFonts w:cs="Arial"/>
        </w:rPr>
      </w:pPr>
      <w:r>
        <w:rPr>
          <w:rFonts w:cs="Arial"/>
        </w:rPr>
        <w:t>Zu Nummer 1:</w:t>
      </w:r>
    </w:p>
    <w:p w14:paraId="0CA21092" w14:textId="56488E5A" w:rsidR="00454ED3" w:rsidRPr="00D168C3" w:rsidRDefault="00454ED3" w:rsidP="00454ED3">
      <w:pPr>
        <w:jc w:val="both"/>
        <w:rPr>
          <w:rFonts w:cs="Arial"/>
        </w:rPr>
      </w:pPr>
      <w:r w:rsidRPr="001B4428">
        <w:rPr>
          <w:rFonts w:cs="Arial"/>
        </w:rPr>
        <w:t>§ 9 Absatz 3 des Pflegeberufegesetzes ermöglicht es den Ländern, für die Anerkennung das Nähere zu den im Gesetz genannten Mindestanforderungen an die Pflegeschulen gemäß § 9 Absatz 1 und 3 zu bestimmen und darüberhinausgehende Anforderungen festzulegen. Das Vorliegen der Anforderungen an die Pflegeschulen ist im Zusammenhang mit den Genehmigungs- bzw. Anerkennungsverfahren durch das für Bildung zuständige Ministerium zu prüfen. Hinsichtlich berufsrechtlicher Fragestellungen ist hierbei auch das für Gesundheit zuständige Ministerium einzubeziehen.</w:t>
      </w:r>
      <w:r>
        <w:rPr>
          <w:rFonts w:cs="Arial"/>
        </w:rPr>
        <w:t xml:space="preserve"> </w:t>
      </w:r>
      <w:r w:rsidRPr="001B4428">
        <w:rPr>
          <w:rFonts w:cs="Arial"/>
        </w:rPr>
        <w:t>Diese Ermächtigungsgrundlage war bislang nicht Bestandteil des Pflegeberufelandesausführungsgesetzes. Es liegt insoweit ein Regelung</w:t>
      </w:r>
      <w:r>
        <w:rPr>
          <w:rFonts w:cs="Arial"/>
        </w:rPr>
        <w:t>sbedarf</w:t>
      </w:r>
      <w:r w:rsidRPr="001B4428">
        <w:rPr>
          <w:rFonts w:cs="Arial"/>
        </w:rPr>
        <w:t xml:space="preserve"> vor, da vergleichbare Ermächtigungen aus anderen Berufsgesetze</w:t>
      </w:r>
      <w:r>
        <w:rPr>
          <w:rFonts w:cs="Arial"/>
        </w:rPr>
        <w:t>n</w:t>
      </w:r>
      <w:r w:rsidRPr="001B4428">
        <w:rPr>
          <w:rFonts w:cs="Arial"/>
        </w:rPr>
        <w:t xml:space="preserve"> der Gesundheitsfachberufe bereits in die entsprechenden Ausführungsgesetze aufgenommen worden sind. </w:t>
      </w:r>
      <w:r>
        <w:rPr>
          <w:rFonts w:cs="Arial"/>
        </w:rPr>
        <w:t>Z</w:t>
      </w:r>
      <w:r w:rsidRPr="001B4428">
        <w:rPr>
          <w:rFonts w:cs="Arial"/>
        </w:rPr>
        <w:t>ur Schaffung einer klaren und rechtssicheren Grundlage für das Verwaltungshandeln des für Bildung zuständige</w:t>
      </w:r>
      <w:r>
        <w:rPr>
          <w:rFonts w:cs="Arial"/>
        </w:rPr>
        <w:t>n</w:t>
      </w:r>
      <w:r w:rsidRPr="001B4428">
        <w:rPr>
          <w:rFonts w:cs="Arial"/>
        </w:rPr>
        <w:t xml:space="preserve"> Ministerium</w:t>
      </w:r>
      <w:r>
        <w:rPr>
          <w:rFonts w:cs="Arial"/>
        </w:rPr>
        <w:t>s</w:t>
      </w:r>
      <w:r w:rsidRPr="001B4428">
        <w:rPr>
          <w:rFonts w:cs="Arial"/>
        </w:rPr>
        <w:t xml:space="preserve"> </w:t>
      </w:r>
      <w:r>
        <w:rPr>
          <w:rFonts w:cs="Arial"/>
        </w:rPr>
        <w:t>wird</w:t>
      </w:r>
      <w:r w:rsidRPr="001B4428">
        <w:rPr>
          <w:rFonts w:cs="Arial"/>
        </w:rPr>
        <w:t xml:space="preserve"> die entsprechende Regelung nun in das Gesetz aufgenommen.</w:t>
      </w:r>
      <w:r>
        <w:rPr>
          <w:rFonts w:cs="Arial"/>
        </w:rPr>
        <w:t xml:space="preserve"> </w:t>
      </w:r>
      <w:r w:rsidRPr="001B4428">
        <w:rPr>
          <w:rFonts w:cs="Arial"/>
        </w:rPr>
        <w:t xml:space="preserve">Mit der gesetzlichen Verankerung wird zugleich eine einheitliche, transparente und effiziente Ausgestaltung der Genehmigungs- bzw. </w:t>
      </w:r>
      <w:r w:rsidRPr="001B4428">
        <w:rPr>
          <w:rFonts w:cs="Arial"/>
        </w:rPr>
        <w:lastRenderedPageBreak/>
        <w:t>Anerkennungsverfahren der Schulen ermöglicht, die zu einer Entbürokratisierung der Verwaltungsabläufe beiträgt. Gleichzeitig wird eine verlässliche Qualitätssicherung der Ausbildung an Pflegeschulen gewährleistet.</w:t>
      </w:r>
      <w:r w:rsidRPr="00D168C3">
        <w:rPr>
          <w:rFonts w:cs="Arial"/>
        </w:rPr>
        <w:t xml:space="preserve"> </w:t>
      </w:r>
    </w:p>
    <w:p w14:paraId="4062785F" w14:textId="77777777" w:rsidR="00454ED3" w:rsidRPr="00D168C3" w:rsidRDefault="00454ED3" w:rsidP="00454ED3">
      <w:pPr>
        <w:pStyle w:val="Listenabsatz"/>
        <w:numPr>
          <w:ilvl w:val="0"/>
          <w:numId w:val="7"/>
        </w:numPr>
        <w:jc w:val="both"/>
        <w:rPr>
          <w:rFonts w:cs="Arial"/>
          <w:b/>
          <w:bCs/>
        </w:rPr>
      </w:pPr>
    </w:p>
    <w:p w14:paraId="30B55798" w14:textId="77777777" w:rsidR="00454ED3" w:rsidRDefault="00454ED3" w:rsidP="00454ED3">
      <w:pPr>
        <w:spacing w:after="0"/>
        <w:jc w:val="both"/>
        <w:rPr>
          <w:rFonts w:cs="Arial"/>
        </w:rPr>
      </w:pPr>
      <w:r>
        <w:rPr>
          <w:rFonts w:cs="Arial"/>
        </w:rPr>
        <w:t>Zu Nummer 1:</w:t>
      </w:r>
    </w:p>
    <w:p w14:paraId="21997395" w14:textId="716AA969" w:rsidR="00454ED3" w:rsidRPr="005A2A9B" w:rsidRDefault="00454ED3" w:rsidP="005A2A9B">
      <w:pPr>
        <w:jc w:val="both"/>
        <w:rPr>
          <w:rFonts w:eastAsia="Times New Roman" w:cs="Arial"/>
          <w:lang w:eastAsia="de-DE"/>
        </w:rPr>
      </w:pPr>
      <w:r w:rsidRPr="00500BFF">
        <w:rPr>
          <w:rFonts w:eastAsia="Times New Roman" w:cs="Arial"/>
          <w:lang w:eastAsia="de-DE"/>
        </w:rPr>
        <w:t>Eine Genehmigungsfiktion sollte in Absatz 1 Satz 2 nicht eingreifen. Eine Genehmigungsfiktion würde dem Sinn und Zweck dieser Regelung widersprechen. Mithin geht es um Härtefälle, die dazu führen, dass das Studium in einem anderen Bundesland fortgesetzt werden könnte. Härtefälle könnten bspw. die pflegebedürftigen Verwandten sein. Hierzu wären entsprechende Nachweise notwendig. Deren Beschaffung (Nachweise von Krankheiten, Pflegegrade etc.)</w:t>
      </w:r>
      <w:r>
        <w:rPr>
          <w:rFonts w:eastAsia="Times New Roman" w:cs="Arial"/>
          <w:lang w:eastAsia="de-DE"/>
        </w:rPr>
        <w:t xml:space="preserve"> </w:t>
      </w:r>
      <w:r w:rsidRPr="00500BFF">
        <w:rPr>
          <w:rFonts w:eastAsia="Times New Roman" w:cs="Arial"/>
          <w:lang w:eastAsia="de-DE"/>
        </w:rPr>
        <w:t>kann ggf. länger dauern und da es hierzu bisher keine konkreten Vorgaben gibt, ist für die studierende Person nicht nachvollziehbar, wann seine Unterlagen vollständig sind. Eine notwendige Ablehnung des Antrags damit die Genehmigungsfiktion nicht nach drei Monaten greift, erscheint unbillig und kann bei nicht ausreichender Prüfung zu einer Ungleichbehandlung führen. Insofern sollte in diesen Fällen eine Genehmigungsfiktion nicht greifen. Eine Genehmigungsfiktion sollte auch in Absatz 3 nicht eingreifen, da die Voraussetzungen und die Prüfung dieses Anliegens von den Zuarbeiten Dritter abhängt.  Der Landesausschuss ist das zuständige Gremium zur Feststellung der (drohenden) Unterversorgung. Ist absehbar, dass der Ausschuss feststellt, dass ein Planungsbereich (drohend) unterversorgt ist oder es nicht mehr ist, hat dies Auswirkungen auf die Bewilligung. Die Tagung kann auch außerordentlich einberufen werden, weswegen eine Planung unter Umständen schwierig sein kann. Damit eine am Bedarf orientierte Bewilligung am Besten möglich ist, ist es notwendig auf die Anträge flexibel reagieren zu können, sodass eine Bewilligung auch erst in 4 Monaten ausgesprochen werden kann, wenn absehbar ist, dass die Versorgungslage sich zwischenzeitlich verändert hat und der Landesausschuss hierüber entscheidet.</w:t>
      </w:r>
    </w:p>
    <w:p w14:paraId="16F3EB61" w14:textId="0FA365F0" w:rsidR="00454ED3" w:rsidRDefault="00454ED3" w:rsidP="00454ED3">
      <w:pPr>
        <w:pStyle w:val="Listenabsatz"/>
      </w:pPr>
      <w:r>
        <w:t>Zu Nummer 2:</w:t>
      </w:r>
    </w:p>
    <w:p w14:paraId="18066FC2" w14:textId="1A9EFA30" w:rsidR="007F29DF" w:rsidRDefault="00454ED3" w:rsidP="007F29DF">
      <w:pPr>
        <w:pStyle w:val="Listenabsatz"/>
        <w:jc w:val="both"/>
        <w:rPr>
          <w:rFonts w:eastAsia="Times New Roman" w:cs="Arial"/>
          <w:lang w:eastAsia="de-DE"/>
        </w:rPr>
      </w:pPr>
      <w:r w:rsidRPr="00500BFF">
        <w:rPr>
          <w:rFonts w:eastAsia="Times New Roman" w:cs="Arial"/>
          <w:lang w:eastAsia="de-DE"/>
        </w:rPr>
        <w:t>Wird bspw. ein Student proaktiv tätig und teilt mit, dass er das Studium abbrechen möchte mit der verbundenen Bitte von einer Vertragsstrafe abzusehen, kann es dazu führen, dass bei einer Nichtbescheidung hierdurch die Vertragsstrafe nicht geltend gemacht wird. Um dies zu verhindern ist die Regelung des § 42a VwVfG nicht zu berücksichtigen.</w:t>
      </w:r>
      <w:r w:rsidRPr="00500BFF">
        <w:rPr>
          <w:rFonts w:eastAsia="Times New Roman" w:cs="Arial"/>
          <w:lang w:eastAsia="de-DE"/>
        </w:rPr>
        <w:br/>
        <w:t>Zu der Verzögerung des Studiums oder der Weiterbildung</w:t>
      </w:r>
      <w:r>
        <w:rPr>
          <w:rFonts w:eastAsia="Times New Roman" w:cs="Arial"/>
          <w:lang w:eastAsia="de-DE"/>
        </w:rPr>
        <w:t>:</w:t>
      </w:r>
      <w:r w:rsidRPr="00500BFF">
        <w:rPr>
          <w:rFonts w:eastAsia="Times New Roman" w:cs="Arial"/>
          <w:lang w:eastAsia="de-DE"/>
        </w:rPr>
        <w:br/>
        <w:t>Stellt der Student einen Antrag auf Verschiebung oder Aufschub des Studiums und ist dieser ggf. nicht begründet oder die Unterlagen nicht vollständig, sollte keine Genehmigungsfiktion greifen. Bei Anwendung einer Genehmigungsfiktion kann es dazu führen, dass das Studium nicht schnellstmöglich abgeschlossen wird und es zur verzögerten Inanspruchnahme der Absolventen als Ärzte</w:t>
      </w:r>
      <w:r>
        <w:rPr>
          <w:rFonts w:eastAsia="Times New Roman" w:cs="Arial"/>
          <w:lang w:eastAsia="de-DE"/>
        </w:rPr>
        <w:t>, Apotheker oder Zahnärzte</w:t>
      </w:r>
      <w:r w:rsidRPr="00500BFF">
        <w:rPr>
          <w:rFonts w:eastAsia="Times New Roman" w:cs="Arial"/>
          <w:lang w:eastAsia="de-DE"/>
        </w:rPr>
        <w:t xml:space="preserve"> in ländlichen Regionen führt. Damit das Ermessen durch das für Gesundheit zuständige Ministerium richtig ausgeübt werden kann, sind auch entsprechende Nachweise vorzulegen. Dies kann auch die Vorlage eines Attests vom Amtsarzt oder anderen Dritten sein, was ggf. nicht in der entsprechenden Zeit vorgelegt werden kann oder die Bescheinigung eines Pflegegrades eines Angehörigen. </w:t>
      </w:r>
      <w:r w:rsidRPr="00500BFF">
        <w:rPr>
          <w:rFonts w:eastAsia="Times New Roman" w:cs="Arial"/>
          <w:lang w:eastAsia="de-DE"/>
        </w:rPr>
        <w:br/>
        <w:t xml:space="preserve">In beiden Fällen ist es ebenfalls wichtig, dass die Vollständigkeitsfiktion ebenfalls nicht greift, da der Antragsteller in der Darlegungspflicht ist, warum er seine eingegangenen Verpflichtungen nicht einhalten kann. Eine bewusste Verzögerung durch mangelhafte Einreichung von Unterlagen darf nicht zu einem Wegfall oder Reduzierung der entstandenen Ansprüche führen. </w:t>
      </w:r>
      <w:r>
        <w:rPr>
          <w:rFonts w:eastAsia="Times New Roman" w:cs="Arial"/>
          <w:lang w:eastAsia="de-DE"/>
        </w:rPr>
        <w:t>D</w:t>
      </w:r>
      <w:r w:rsidRPr="00500BFF">
        <w:rPr>
          <w:rFonts w:eastAsia="Times New Roman" w:cs="Arial"/>
          <w:lang w:eastAsia="de-DE"/>
        </w:rPr>
        <w:t>ie Anwendung der Genehmigungsfiktion</w:t>
      </w:r>
      <w:r>
        <w:rPr>
          <w:rFonts w:eastAsia="Times New Roman" w:cs="Arial"/>
          <w:lang w:eastAsia="de-DE"/>
        </w:rPr>
        <w:t xml:space="preserve"> würde</w:t>
      </w:r>
      <w:r w:rsidRPr="00500BFF">
        <w:rPr>
          <w:rFonts w:eastAsia="Times New Roman" w:cs="Arial"/>
          <w:lang w:eastAsia="de-DE"/>
        </w:rPr>
        <w:t xml:space="preserve"> zu einer Planungsunsicherheit führen (Studenten verzögern ihr Studium und werden dadurch später </w:t>
      </w:r>
      <w:r w:rsidRPr="00500BFF">
        <w:rPr>
          <w:rFonts w:eastAsia="Times New Roman" w:cs="Arial"/>
          <w:lang w:eastAsia="de-DE"/>
        </w:rPr>
        <w:lastRenderedPageBreak/>
        <w:t>niedergelassen) sowie auch einen Investitionsverlust darstellen, indem z.B. Studenten in anderen Bundesländern weiterstudieren und/ oder ihre Weiterbildung machen und/oder sich niederlassen. Dies würde dem Sinn und Zweck des Gesetzes zuwiderlaufen. Insofern sollte die Genehmigungsfiktion nicht greifen.</w:t>
      </w:r>
    </w:p>
    <w:p w14:paraId="5FF0B257" w14:textId="73CCF1E6" w:rsidR="007F29DF" w:rsidRDefault="007F29DF" w:rsidP="007F29DF">
      <w:pPr>
        <w:pStyle w:val="Listenabsatz"/>
        <w:jc w:val="both"/>
        <w:rPr>
          <w:rFonts w:eastAsia="Times New Roman" w:cs="Arial"/>
          <w:lang w:eastAsia="de-DE"/>
        </w:rPr>
      </w:pPr>
    </w:p>
    <w:p w14:paraId="2E32E21F" w14:textId="25898D6C" w:rsidR="001E3DFE" w:rsidRDefault="001E3DFE" w:rsidP="001E3DFE">
      <w:pPr>
        <w:pStyle w:val="Listenabsatz"/>
        <w:jc w:val="both"/>
        <w:rPr>
          <w:rFonts w:eastAsia="Times New Roman" w:cs="Arial"/>
          <w:lang w:eastAsia="de-DE"/>
        </w:rPr>
      </w:pPr>
      <w:r w:rsidRPr="007F29DF">
        <w:rPr>
          <w:rFonts w:eastAsia="Times New Roman" w:cs="Arial"/>
          <w:b/>
          <w:bCs/>
          <w:lang w:eastAsia="de-DE"/>
        </w:rPr>
        <w:t xml:space="preserve">Zu Artikel </w:t>
      </w:r>
      <w:r>
        <w:rPr>
          <w:rFonts w:eastAsia="Times New Roman" w:cs="Arial"/>
          <w:b/>
          <w:bCs/>
          <w:lang w:eastAsia="de-DE"/>
        </w:rPr>
        <w:t>91</w:t>
      </w:r>
    </w:p>
    <w:p w14:paraId="2903400D" w14:textId="7CBD0810" w:rsidR="001E3DFE" w:rsidRDefault="001E3DFE" w:rsidP="001E3DFE">
      <w:pPr>
        <w:pStyle w:val="Listenabsatz"/>
        <w:jc w:val="both"/>
        <w:rPr>
          <w:rFonts w:eastAsia="Times New Roman" w:cs="Arial"/>
          <w:lang w:eastAsia="de-DE"/>
        </w:rPr>
      </w:pPr>
    </w:p>
    <w:p w14:paraId="7770C82E" w14:textId="23294C0C" w:rsidR="005A2A9B" w:rsidRDefault="005A2A9B" w:rsidP="005A2A9B">
      <w:pPr>
        <w:pStyle w:val="Listenabsatz"/>
        <w:jc w:val="both"/>
        <w:rPr>
          <w:rFonts w:eastAsia="Times New Roman" w:cs="Arial"/>
          <w:lang w:eastAsia="de-DE"/>
        </w:rPr>
      </w:pPr>
      <w:r>
        <w:rPr>
          <w:rFonts w:eastAsia="Times New Roman" w:cs="Arial"/>
          <w:lang w:eastAsia="de-DE"/>
        </w:rPr>
        <w:t>Zu Absatz 2 und 3:</w:t>
      </w:r>
    </w:p>
    <w:p w14:paraId="3CBC8C2A" w14:textId="285A000D" w:rsidR="005A2A9B" w:rsidRDefault="005A2A9B" w:rsidP="005A2A9B">
      <w:pPr>
        <w:pStyle w:val="Listenabsatz"/>
        <w:jc w:val="both"/>
        <w:rPr>
          <w:rFonts w:eastAsia="Times New Roman" w:cs="Arial"/>
          <w:lang w:eastAsia="de-DE"/>
        </w:rPr>
      </w:pPr>
      <w:r w:rsidRPr="005A2A9B">
        <w:rPr>
          <w:rFonts w:eastAsia="Times New Roman" w:cs="Arial"/>
          <w:lang w:eastAsia="de-DE"/>
        </w:rPr>
        <w:t>Die Inkrafttretensregelungen der Absätze 2 und 3 orientieren sich an den Inkrafttretensregelungen des sich im Gesetzgebungsverfahren befindlichen Infrastruktur-Zukunftsgesetzes (Drucksache 21/4099) und der sich in Planung befindlichen Änderungen des Verwaltungsverfahrensgesetzes zur Umsetzung der föderalen Modernisierungsagenda des Bundes. Um eine widerspruchsfreie und kohärente Rechtsanwendung sicherzustellen, ist das Inkrafttreten an das Inkrafttreten der Bundesgesetze geknüpft (Simultangesetzgebung). Dies dient der Rechtssicherheit und Verwaltungspraktikabilität. Die vorgesehene Übergangsfrist zur Umkehrung des Regel-Ausnahme-Verhältnisses von Genehmigungsfiktionen nach Artikel 1 Nummer 10 des Gesetzes führt zu einem frühestmöglichen Inkrafttreten zum 01.07.2027. Dies ermöglicht eine umfassende Analyse des Fachrechts sowie der verwaltungspraktischen Auswirkungen.</w:t>
      </w:r>
    </w:p>
    <w:p w14:paraId="1FC0AF91" w14:textId="77777777" w:rsidR="005A2A9B" w:rsidRDefault="005A2A9B" w:rsidP="005A2A9B">
      <w:pPr>
        <w:pStyle w:val="Listenabsatz"/>
        <w:jc w:val="both"/>
        <w:rPr>
          <w:rFonts w:eastAsia="Times New Roman" w:cs="Arial"/>
          <w:lang w:eastAsia="de-DE"/>
        </w:rPr>
      </w:pPr>
    </w:p>
    <w:p w14:paraId="7AEB49BE" w14:textId="45F71DE1" w:rsidR="001E3DFE" w:rsidRPr="005A2A9B" w:rsidRDefault="001E3DFE" w:rsidP="001E3DFE">
      <w:pPr>
        <w:pStyle w:val="Listenabsatz"/>
        <w:jc w:val="both"/>
        <w:rPr>
          <w:rFonts w:eastAsia="Times New Roman" w:cs="Arial"/>
          <w:lang w:eastAsia="de-DE"/>
        </w:rPr>
      </w:pPr>
      <w:r w:rsidRPr="005A2A9B">
        <w:rPr>
          <w:rFonts w:eastAsia="Times New Roman" w:cs="Arial"/>
          <w:lang w:eastAsia="de-DE"/>
        </w:rPr>
        <w:t xml:space="preserve">Zu Absatz 4: </w:t>
      </w:r>
    </w:p>
    <w:p w14:paraId="34421A34" w14:textId="47B9CF7A" w:rsidR="001E3DFE" w:rsidRPr="005A2A9B" w:rsidRDefault="001E3DFE" w:rsidP="001E3DFE">
      <w:pPr>
        <w:pStyle w:val="Listenabsatz"/>
        <w:jc w:val="both"/>
        <w:rPr>
          <w:rFonts w:eastAsia="Times New Roman" w:cs="Arial"/>
          <w:lang w:eastAsia="de-DE"/>
        </w:rPr>
      </w:pPr>
      <w:r w:rsidRPr="005A2A9B">
        <w:rPr>
          <w:rFonts w:eastAsia="Times New Roman" w:cs="Arial"/>
          <w:lang w:eastAsia="de-DE"/>
        </w:rPr>
        <w:t>Durch ein Inkrafttreten der Regelung unmittelbar nach dem Außerkrafttreten des Kommunalen Standarderprobungsgesetzes entfallen rechtliche Abgrenzungsfragen zwischen den Normen.</w:t>
      </w:r>
    </w:p>
    <w:p w14:paraId="1869080E" w14:textId="0EE75D79" w:rsidR="001E3DFE" w:rsidRPr="005A2A9B" w:rsidRDefault="001E3DFE" w:rsidP="007F29DF">
      <w:pPr>
        <w:pStyle w:val="Listenabsatz"/>
        <w:jc w:val="both"/>
        <w:rPr>
          <w:rFonts w:eastAsia="Times New Roman" w:cs="Arial"/>
          <w:lang w:eastAsia="de-DE"/>
        </w:rPr>
      </w:pPr>
    </w:p>
    <w:p w14:paraId="5CF9B642" w14:textId="33C485C3" w:rsidR="00027388" w:rsidRPr="005A2A9B" w:rsidRDefault="00027388" w:rsidP="007F29DF">
      <w:pPr>
        <w:pStyle w:val="Listenabsatz"/>
        <w:jc w:val="both"/>
        <w:rPr>
          <w:rFonts w:eastAsia="Times New Roman" w:cs="Arial"/>
          <w:lang w:eastAsia="de-DE"/>
        </w:rPr>
      </w:pPr>
      <w:r w:rsidRPr="005A2A9B">
        <w:rPr>
          <w:rFonts w:eastAsia="Times New Roman" w:cs="Arial"/>
          <w:lang w:eastAsia="de-DE"/>
        </w:rPr>
        <w:t xml:space="preserve">Zu Absatz 5: </w:t>
      </w:r>
    </w:p>
    <w:p w14:paraId="1949D86D" w14:textId="625A628A" w:rsidR="005A2A9B" w:rsidRDefault="00027388" w:rsidP="007F29DF">
      <w:pPr>
        <w:pStyle w:val="Listenabsatz"/>
        <w:jc w:val="both"/>
        <w:rPr>
          <w:rFonts w:eastAsia="Times New Roman" w:cs="Arial"/>
          <w:lang w:eastAsia="de-DE"/>
        </w:rPr>
      </w:pPr>
      <w:r w:rsidRPr="005A2A9B">
        <w:rPr>
          <w:rFonts w:eastAsia="Times New Roman" w:cs="Arial"/>
          <w:lang w:eastAsia="de-DE"/>
        </w:rPr>
        <w:t>Die tatsächliche Anbindung des Landesverfassungsgerichts an den eRV ist erst zum 1.10.2026 verlässlich realisierbar.</w:t>
      </w:r>
    </w:p>
    <w:p w14:paraId="5AD08E40" w14:textId="77777777" w:rsidR="00027388" w:rsidRDefault="00027388" w:rsidP="007F29DF">
      <w:pPr>
        <w:pStyle w:val="Listenabsatz"/>
        <w:jc w:val="both"/>
        <w:rPr>
          <w:rFonts w:eastAsia="Times New Roman" w:cs="Arial"/>
          <w:lang w:eastAsia="de-DE"/>
        </w:rPr>
      </w:pPr>
    </w:p>
    <w:p w14:paraId="24ADB146" w14:textId="76E12374" w:rsidR="007F29DF" w:rsidRDefault="007F29DF" w:rsidP="007F29DF">
      <w:pPr>
        <w:pStyle w:val="Listenabsatz"/>
        <w:jc w:val="both"/>
        <w:rPr>
          <w:rFonts w:eastAsia="Times New Roman" w:cs="Arial"/>
          <w:b/>
          <w:bCs/>
          <w:lang w:eastAsia="de-DE"/>
        </w:rPr>
      </w:pPr>
      <w:r w:rsidRPr="007F29DF">
        <w:rPr>
          <w:rFonts w:eastAsia="Times New Roman" w:cs="Arial"/>
          <w:b/>
          <w:bCs/>
          <w:lang w:eastAsia="de-DE"/>
        </w:rPr>
        <w:t>Zu Artikel 92</w:t>
      </w:r>
    </w:p>
    <w:p w14:paraId="3619FE72" w14:textId="77777777" w:rsidR="007F29DF" w:rsidRPr="007F29DF" w:rsidRDefault="007F29DF" w:rsidP="007F29DF">
      <w:pPr>
        <w:pStyle w:val="Listenabsatz"/>
        <w:jc w:val="both"/>
        <w:rPr>
          <w:rFonts w:eastAsia="Times New Roman" w:cs="Arial"/>
          <w:b/>
          <w:bCs/>
          <w:lang w:eastAsia="de-DE"/>
        </w:rPr>
      </w:pPr>
    </w:p>
    <w:p w14:paraId="06FCF24D" w14:textId="1E432512" w:rsidR="00702470" w:rsidRPr="007F29DF" w:rsidRDefault="007F29DF" w:rsidP="007F29DF">
      <w:pPr>
        <w:pStyle w:val="Listenabsatz"/>
        <w:jc w:val="both"/>
        <w:rPr>
          <w:rFonts w:eastAsia="Times New Roman" w:cs="Arial"/>
          <w:lang w:eastAsia="de-DE"/>
        </w:rPr>
      </w:pPr>
      <w:r w:rsidRPr="007F29DF">
        <w:rPr>
          <w:rFonts w:cs="Arial"/>
        </w:rPr>
        <w:t>Die Übergangsregelung stellt sicher, dass Anträge auf Informationszugang, die vor Inkrafttreten der Neuregelungen gestellt worden sind, nach den zum Zeitpunkt der Antragstellung geltenden Vorschriften behandelt werden. Durch die Regelung wird das Vertrauen der antragstellenden Personen in die Rechtssicherheit gegenüber der Verwaltung attestiert.</w:t>
      </w:r>
    </w:p>
    <w:sectPr w:rsidR="00702470" w:rsidRPr="007F29DF" w:rsidSect="006A06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270"/>
    <w:multiLevelType w:val="hybridMultilevel"/>
    <w:tmpl w:val="1084F644"/>
    <w:lvl w:ilvl="0" w:tplc="6A1C5400">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F56CFB"/>
    <w:multiLevelType w:val="hybridMultilevel"/>
    <w:tmpl w:val="3AC63800"/>
    <w:lvl w:ilvl="0" w:tplc="9E3C0B24">
      <w:start w:val="1"/>
      <w:numFmt w:val="decimal"/>
      <w:lvlText w:val="Zu Artike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BB2448"/>
    <w:multiLevelType w:val="hybridMultilevel"/>
    <w:tmpl w:val="351A788C"/>
    <w:lvl w:ilvl="0" w:tplc="04070001">
      <w:start w:val="1"/>
      <w:numFmt w:val="bullet"/>
      <w:lvlText w:val=""/>
      <w:lvlJc w:val="left"/>
      <w:pPr>
        <w:ind w:left="1068" w:hanging="708"/>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D860FF"/>
    <w:multiLevelType w:val="hybridMultilevel"/>
    <w:tmpl w:val="FDBEFF1E"/>
    <w:lvl w:ilvl="0" w:tplc="04070013">
      <w:start w:val="1"/>
      <w:numFmt w:val="upperRoman"/>
      <w:lvlText w:val="%1."/>
      <w:lvlJc w:val="right"/>
      <w:pPr>
        <w:ind w:left="774" w:hanging="360"/>
      </w:pPr>
    </w:lvl>
    <w:lvl w:ilvl="1" w:tplc="04070019" w:tentative="1">
      <w:start w:val="1"/>
      <w:numFmt w:val="lowerLetter"/>
      <w:lvlText w:val="%2."/>
      <w:lvlJc w:val="left"/>
      <w:pPr>
        <w:ind w:left="1494" w:hanging="360"/>
      </w:pPr>
    </w:lvl>
    <w:lvl w:ilvl="2" w:tplc="0407001B" w:tentative="1">
      <w:start w:val="1"/>
      <w:numFmt w:val="lowerRoman"/>
      <w:lvlText w:val="%3."/>
      <w:lvlJc w:val="right"/>
      <w:pPr>
        <w:ind w:left="2214" w:hanging="180"/>
      </w:pPr>
    </w:lvl>
    <w:lvl w:ilvl="3" w:tplc="0407000F" w:tentative="1">
      <w:start w:val="1"/>
      <w:numFmt w:val="decimal"/>
      <w:lvlText w:val="%4."/>
      <w:lvlJc w:val="left"/>
      <w:pPr>
        <w:ind w:left="2934" w:hanging="360"/>
      </w:pPr>
    </w:lvl>
    <w:lvl w:ilvl="4" w:tplc="04070019" w:tentative="1">
      <w:start w:val="1"/>
      <w:numFmt w:val="lowerLetter"/>
      <w:lvlText w:val="%5."/>
      <w:lvlJc w:val="left"/>
      <w:pPr>
        <w:ind w:left="3654" w:hanging="360"/>
      </w:pPr>
    </w:lvl>
    <w:lvl w:ilvl="5" w:tplc="0407001B" w:tentative="1">
      <w:start w:val="1"/>
      <w:numFmt w:val="lowerRoman"/>
      <w:lvlText w:val="%6."/>
      <w:lvlJc w:val="right"/>
      <w:pPr>
        <w:ind w:left="4374" w:hanging="180"/>
      </w:pPr>
    </w:lvl>
    <w:lvl w:ilvl="6" w:tplc="0407000F" w:tentative="1">
      <w:start w:val="1"/>
      <w:numFmt w:val="decimal"/>
      <w:lvlText w:val="%7."/>
      <w:lvlJc w:val="left"/>
      <w:pPr>
        <w:ind w:left="5094" w:hanging="360"/>
      </w:pPr>
    </w:lvl>
    <w:lvl w:ilvl="7" w:tplc="04070019" w:tentative="1">
      <w:start w:val="1"/>
      <w:numFmt w:val="lowerLetter"/>
      <w:lvlText w:val="%8."/>
      <w:lvlJc w:val="left"/>
      <w:pPr>
        <w:ind w:left="5814" w:hanging="360"/>
      </w:pPr>
    </w:lvl>
    <w:lvl w:ilvl="8" w:tplc="0407001B" w:tentative="1">
      <w:start w:val="1"/>
      <w:numFmt w:val="lowerRoman"/>
      <w:lvlText w:val="%9."/>
      <w:lvlJc w:val="right"/>
      <w:pPr>
        <w:ind w:left="6534" w:hanging="180"/>
      </w:pPr>
    </w:lvl>
  </w:abstractNum>
  <w:abstractNum w:abstractNumId="4" w15:restartNumberingAfterBreak="0">
    <w:nsid w:val="1F7162BE"/>
    <w:multiLevelType w:val="hybridMultilevel"/>
    <w:tmpl w:val="C990117E"/>
    <w:lvl w:ilvl="0" w:tplc="6A1C5400">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A63D32"/>
    <w:multiLevelType w:val="hybridMultilevel"/>
    <w:tmpl w:val="35C4F664"/>
    <w:lvl w:ilvl="0" w:tplc="0DDC1B2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F20B5D"/>
    <w:multiLevelType w:val="hybridMultilevel"/>
    <w:tmpl w:val="5F7A4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9F1D26"/>
    <w:multiLevelType w:val="hybridMultilevel"/>
    <w:tmpl w:val="E71012E8"/>
    <w:lvl w:ilvl="0" w:tplc="9E3C0B24">
      <w:start w:val="1"/>
      <w:numFmt w:val="decimal"/>
      <w:lvlText w:val="Zu Artikel %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3F13247"/>
    <w:multiLevelType w:val="hybridMultilevel"/>
    <w:tmpl w:val="098C9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F3D1265"/>
    <w:multiLevelType w:val="hybridMultilevel"/>
    <w:tmpl w:val="BED80994"/>
    <w:lvl w:ilvl="0" w:tplc="9E3C0B24">
      <w:start w:val="1"/>
      <w:numFmt w:val="decimal"/>
      <w:lvlText w:val="Zu Artike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3339BC"/>
    <w:multiLevelType w:val="hybridMultilevel"/>
    <w:tmpl w:val="4E7C45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7A34EB3"/>
    <w:multiLevelType w:val="hybridMultilevel"/>
    <w:tmpl w:val="E44010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BD53D4"/>
    <w:multiLevelType w:val="hybridMultilevel"/>
    <w:tmpl w:val="7242C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F73C9"/>
    <w:multiLevelType w:val="hybridMultilevel"/>
    <w:tmpl w:val="89447974"/>
    <w:lvl w:ilvl="0" w:tplc="9E3C0B24">
      <w:start w:val="1"/>
      <w:numFmt w:val="decimal"/>
      <w:lvlText w:val="Zu Artikel %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8F42150"/>
    <w:multiLevelType w:val="hybridMultilevel"/>
    <w:tmpl w:val="65D8AEDA"/>
    <w:lvl w:ilvl="0" w:tplc="6A1C5400">
      <w:numFmt w:val="bullet"/>
      <w:lvlText w:val="•"/>
      <w:lvlJc w:val="left"/>
      <w:pPr>
        <w:ind w:left="1068" w:hanging="708"/>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4D8625C"/>
    <w:multiLevelType w:val="hybridMultilevel"/>
    <w:tmpl w:val="7D02137A"/>
    <w:lvl w:ilvl="0" w:tplc="9E3C0B24">
      <w:start w:val="1"/>
      <w:numFmt w:val="decimal"/>
      <w:lvlText w:val="Zu Artikel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5296913"/>
    <w:multiLevelType w:val="hybridMultilevel"/>
    <w:tmpl w:val="7B4C7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1"/>
  </w:num>
  <w:num w:numId="5">
    <w:abstractNumId w:val="7"/>
  </w:num>
  <w:num w:numId="6">
    <w:abstractNumId w:val="15"/>
  </w:num>
  <w:num w:numId="7">
    <w:abstractNumId w:val="13"/>
  </w:num>
  <w:num w:numId="8">
    <w:abstractNumId w:val="12"/>
  </w:num>
  <w:num w:numId="9">
    <w:abstractNumId w:val="5"/>
  </w:num>
  <w:num w:numId="10">
    <w:abstractNumId w:val="10"/>
  </w:num>
  <w:num w:numId="11">
    <w:abstractNumId w:val="16"/>
  </w:num>
  <w:num w:numId="12">
    <w:abstractNumId w:val="0"/>
  </w:num>
  <w:num w:numId="13">
    <w:abstractNumId w:val="14"/>
  </w:num>
  <w:num w:numId="14">
    <w:abstractNumId w:val="4"/>
  </w:num>
  <w:num w:numId="15">
    <w:abstractNumId w:val="2"/>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73B"/>
    <w:rsid w:val="00022A2F"/>
    <w:rsid w:val="00027388"/>
    <w:rsid w:val="00035F4D"/>
    <w:rsid w:val="00036F60"/>
    <w:rsid w:val="0004442B"/>
    <w:rsid w:val="000451F8"/>
    <w:rsid w:val="00046688"/>
    <w:rsid w:val="00056BFF"/>
    <w:rsid w:val="00064BA7"/>
    <w:rsid w:val="00076577"/>
    <w:rsid w:val="000B041C"/>
    <w:rsid w:val="000B56AA"/>
    <w:rsid w:val="000D0379"/>
    <w:rsid w:val="000D5F06"/>
    <w:rsid w:val="000E348B"/>
    <w:rsid w:val="000E5B95"/>
    <w:rsid w:val="000F7FF2"/>
    <w:rsid w:val="0010068D"/>
    <w:rsid w:val="00133E92"/>
    <w:rsid w:val="00144EBA"/>
    <w:rsid w:val="00174E68"/>
    <w:rsid w:val="00186596"/>
    <w:rsid w:val="001901D6"/>
    <w:rsid w:val="001A59C2"/>
    <w:rsid w:val="001B079F"/>
    <w:rsid w:val="001B20C2"/>
    <w:rsid w:val="001D58F0"/>
    <w:rsid w:val="001E1039"/>
    <w:rsid w:val="001E3DFE"/>
    <w:rsid w:val="001E529E"/>
    <w:rsid w:val="001E5794"/>
    <w:rsid w:val="001E6F57"/>
    <w:rsid w:val="001E6FC6"/>
    <w:rsid w:val="002023CA"/>
    <w:rsid w:val="00203FC4"/>
    <w:rsid w:val="002275DA"/>
    <w:rsid w:val="0023454B"/>
    <w:rsid w:val="00235D35"/>
    <w:rsid w:val="002449C5"/>
    <w:rsid w:val="0025179D"/>
    <w:rsid w:val="0026092A"/>
    <w:rsid w:val="002661A5"/>
    <w:rsid w:val="0028031A"/>
    <w:rsid w:val="002B4372"/>
    <w:rsid w:val="002C5B4C"/>
    <w:rsid w:val="002D30B0"/>
    <w:rsid w:val="002F3B2E"/>
    <w:rsid w:val="0033773B"/>
    <w:rsid w:val="0034224C"/>
    <w:rsid w:val="00343316"/>
    <w:rsid w:val="00344922"/>
    <w:rsid w:val="003552BC"/>
    <w:rsid w:val="00355BF3"/>
    <w:rsid w:val="003607A7"/>
    <w:rsid w:val="00365CB1"/>
    <w:rsid w:val="00367C64"/>
    <w:rsid w:val="00392512"/>
    <w:rsid w:val="003C2FFB"/>
    <w:rsid w:val="003D084F"/>
    <w:rsid w:val="003F1D1D"/>
    <w:rsid w:val="004049C1"/>
    <w:rsid w:val="00422638"/>
    <w:rsid w:val="00423550"/>
    <w:rsid w:val="004267A4"/>
    <w:rsid w:val="00435BD9"/>
    <w:rsid w:val="004410D5"/>
    <w:rsid w:val="004443A9"/>
    <w:rsid w:val="004451ED"/>
    <w:rsid w:val="00454ED3"/>
    <w:rsid w:val="0045608A"/>
    <w:rsid w:val="00472889"/>
    <w:rsid w:val="004746F6"/>
    <w:rsid w:val="00477FC5"/>
    <w:rsid w:val="00482036"/>
    <w:rsid w:val="0049430D"/>
    <w:rsid w:val="004A4D90"/>
    <w:rsid w:val="004D5CAC"/>
    <w:rsid w:val="004D6FD6"/>
    <w:rsid w:val="004E12A8"/>
    <w:rsid w:val="004E6135"/>
    <w:rsid w:val="0054039D"/>
    <w:rsid w:val="00593CF5"/>
    <w:rsid w:val="005949CF"/>
    <w:rsid w:val="005A229F"/>
    <w:rsid w:val="005A2A9B"/>
    <w:rsid w:val="005A2CA4"/>
    <w:rsid w:val="005A6246"/>
    <w:rsid w:val="005B0FE0"/>
    <w:rsid w:val="005B4591"/>
    <w:rsid w:val="005D0F1D"/>
    <w:rsid w:val="005D2B4E"/>
    <w:rsid w:val="005E2838"/>
    <w:rsid w:val="005E3786"/>
    <w:rsid w:val="005F0BC9"/>
    <w:rsid w:val="005F734A"/>
    <w:rsid w:val="00607D23"/>
    <w:rsid w:val="006129BF"/>
    <w:rsid w:val="0065071E"/>
    <w:rsid w:val="00677195"/>
    <w:rsid w:val="0069388F"/>
    <w:rsid w:val="00693BF1"/>
    <w:rsid w:val="006955EA"/>
    <w:rsid w:val="006A06D5"/>
    <w:rsid w:val="006B4DC6"/>
    <w:rsid w:val="006E661D"/>
    <w:rsid w:val="006E6A66"/>
    <w:rsid w:val="006F18CD"/>
    <w:rsid w:val="006F5195"/>
    <w:rsid w:val="006F6F9A"/>
    <w:rsid w:val="00702470"/>
    <w:rsid w:val="007176DD"/>
    <w:rsid w:val="00774B1D"/>
    <w:rsid w:val="0078418E"/>
    <w:rsid w:val="007867A1"/>
    <w:rsid w:val="0079171F"/>
    <w:rsid w:val="00796694"/>
    <w:rsid w:val="007A7F78"/>
    <w:rsid w:val="007C44B5"/>
    <w:rsid w:val="007D516A"/>
    <w:rsid w:val="007D55BB"/>
    <w:rsid w:val="007E537E"/>
    <w:rsid w:val="007E7501"/>
    <w:rsid w:val="007F29DF"/>
    <w:rsid w:val="007F62EC"/>
    <w:rsid w:val="00802B47"/>
    <w:rsid w:val="008120BE"/>
    <w:rsid w:val="0082148D"/>
    <w:rsid w:val="008412EC"/>
    <w:rsid w:val="00847AB7"/>
    <w:rsid w:val="00850900"/>
    <w:rsid w:val="00856124"/>
    <w:rsid w:val="00856816"/>
    <w:rsid w:val="00862534"/>
    <w:rsid w:val="0087125F"/>
    <w:rsid w:val="00872876"/>
    <w:rsid w:val="00873834"/>
    <w:rsid w:val="008849CC"/>
    <w:rsid w:val="00897EF9"/>
    <w:rsid w:val="008A77DF"/>
    <w:rsid w:val="008B2F29"/>
    <w:rsid w:val="008C42E0"/>
    <w:rsid w:val="008C4D9F"/>
    <w:rsid w:val="008D4029"/>
    <w:rsid w:val="008D59DA"/>
    <w:rsid w:val="008D65FF"/>
    <w:rsid w:val="008E4BEF"/>
    <w:rsid w:val="008F3BF3"/>
    <w:rsid w:val="009052C5"/>
    <w:rsid w:val="009503E7"/>
    <w:rsid w:val="00955BFC"/>
    <w:rsid w:val="00961877"/>
    <w:rsid w:val="00963C51"/>
    <w:rsid w:val="00966E70"/>
    <w:rsid w:val="0097278F"/>
    <w:rsid w:val="00973390"/>
    <w:rsid w:val="009807D5"/>
    <w:rsid w:val="00980C2F"/>
    <w:rsid w:val="00996ADF"/>
    <w:rsid w:val="009A1778"/>
    <w:rsid w:val="009B3999"/>
    <w:rsid w:val="009C06EE"/>
    <w:rsid w:val="009C47A7"/>
    <w:rsid w:val="009C5C3E"/>
    <w:rsid w:val="009D66AE"/>
    <w:rsid w:val="009D7994"/>
    <w:rsid w:val="009E2D5E"/>
    <w:rsid w:val="009E2ED3"/>
    <w:rsid w:val="009F3885"/>
    <w:rsid w:val="009F614C"/>
    <w:rsid w:val="00A06DF5"/>
    <w:rsid w:val="00A14CF3"/>
    <w:rsid w:val="00A2571C"/>
    <w:rsid w:val="00A379E7"/>
    <w:rsid w:val="00A77BCC"/>
    <w:rsid w:val="00A83880"/>
    <w:rsid w:val="00A843C3"/>
    <w:rsid w:val="00AA4829"/>
    <w:rsid w:val="00AB1B04"/>
    <w:rsid w:val="00AD5CCB"/>
    <w:rsid w:val="00AF188C"/>
    <w:rsid w:val="00AF494E"/>
    <w:rsid w:val="00B07D0D"/>
    <w:rsid w:val="00B140B2"/>
    <w:rsid w:val="00B20197"/>
    <w:rsid w:val="00B40327"/>
    <w:rsid w:val="00B41A5D"/>
    <w:rsid w:val="00B422C1"/>
    <w:rsid w:val="00BC4402"/>
    <w:rsid w:val="00BD13EC"/>
    <w:rsid w:val="00BF3C87"/>
    <w:rsid w:val="00C04274"/>
    <w:rsid w:val="00C04FB5"/>
    <w:rsid w:val="00C1099F"/>
    <w:rsid w:val="00C34818"/>
    <w:rsid w:val="00C41D98"/>
    <w:rsid w:val="00C64ADC"/>
    <w:rsid w:val="00C66485"/>
    <w:rsid w:val="00C73DED"/>
    <w:rsid w:val="00CC1252"/>
    <w:rsid w:val="00CD57A0"/>
    <w:rsid w:val="00CF0646"/>
    <w:rsid w:val="00CF7346"/>
    <w:rsid w:val="00D129CB"/>
    <w:rsid w:val="00D129EE"/>
    <w:rsid w:val="00D168C3"/>
    <w:rsid w:val="00D450FD"/>
    <w:rsid w:val="00D62F40"/>
    <w:rsid w:val="00D7266D"/>
    <w:rsid w:val="00D75A47"/>
    <w:rsid w:val="00D76E0D"/>
    <w:rsid w:val="00D809F5"/>
    <w:rsid w:val="00DA03AB"/>
    <w:rsid w:val="00DA6D78"/>
    <w:rsid w:val="00DA7B45"/>
    <w:rsid w:val="00DE4816"/>
    <w:rsid w:val="00E21B34"/>
    <w:rsid w:val="00E23761"/>
    <w:rsid w:val="00E51C00"/>
    <w:rsid w:val="00E540F6"/>
    <w:rsid w:val="00E806DC"/>
    <w:rsid w:val="00E81926"/>
    <w:rsid w:val="00E930E8"/>
    <w:rsid w:val="00E93F6D"/>
    <w:rsid w:val="00ED6A5D"/>
    <w:rsid w:val="00ED7802"/>
    <w:rsid w:val="00EF7D1F"/>
    <w:rsid w:val="00F10857"/>
    <w:rsid w:val="00F30FEC"/>
    <w:rsid w:val="00F369E4"/>
    <w:rsid w:val="00F371B2"/>
    <w:rsid w:val="00F41DAE"/>
    <w:rsid w:val="00F46F36"/>
    <w:rsid w:val="00F470A1"/>
    <w:rsid w:val="00F50311"/>
    <w:rsid w:val="00F6266C"/>
    <w:rsid w:val="00F67E45"/>
    <w:rsid w:val="00F71F93"/>
    <w:rsid w:val="00F7278B"/>
    <w:rsid w:val="00FA5A3A"/>
    <w:rsid w:val="00FA7468"/>
    <w:rsid w:val="00FB445C"/>
    <w:rsid w:val="00FD21F6"/>
    <w:rsid w:val="00FD75A1"/>
    <w:rsid w:val="00FF17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6107"/>
  <w15:chartTrackingRefBased/>
  <w15:docId w15:val="{B1CCA740-6329-46A2-8171-EC44E983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4818"/>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379E7"/>
    <w:pPr>
      <w:contextualSpacing/>
    </w:pPr>
  </w:style>
  <w:style w:type="character" w:styleId="Kommentarzeichen">
    <w:name w:val="annotation reference"/>
    <w:basedOn w:val="Absatz-Standardschriftart"/>
    <w:uiPriority w:val="99"/>
    <w:semiHidden/>
    <w:unhideWhenUsed/>
    <w:rsid w:val="00B140B2"/>
    <w:rPr>
      <w:sz w:val="16"/>
      <w:szCs w:val="16"/>
    </w:rPr>
  </w:style>
  <w:style w:type="paragraph" w:styleId="Kommentartext">
    <w:name w:val="annotation text"/>
    <w:basedOn w:val="Standard"/>
    <w:link w:val="KommentartextZchn"/>
    <w:uiPriority w:val="99"/>
    <w:unhideWhenUsed/>
    <w:rsid w:val="00B140B2"/>
    <w:pPr>
      <w:spacing w:line="240" w:lineRule="auto"/>
    </w:pPr>
    <w:rPr>
      <w:sz w:val="20"/>
      <w:szCs w:val="20"/>
    </w:rPr>
  </w:style>
  <w:style w:type="character" w:customStyle="1" w:styleId="KommentartextZchn">
    <w:name w:val="Kommentartext Zchn"/>
    <w:basedOn w:val="Absatz-Standardschriftart"/>
    <w:link w:val="Kommentartext"/>
    <w:uiPriority w:val="99"/>
    <w:rsid w:val="00B140B2"/>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140B2"/>
    <w:rPr>
      <w:b/>
      <w:bCs/>
    </w:rPr>
  </w:style>
  <w:style w:type="character" w:customStyle="1" w:styleId="KommentarthemaZchn">
    <w:name w:val="Kommentarthema Zchn"/>
    <w:basedOn w:val="KommentartextZchn"/>
    <w:link w:val="Kommentarthema"/>
    <w:uiPriority w:val="99"/>
    <w:semiHidden/>
    <w:rsid w:val="00B140B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104">
      <w:bodyDiv w:val="1"/>
      <w:marLeft w:val="0"/>
      <w:marRight w:val="0"/>
      <w:marTop w:val="0"/>
      <w:marBottom w:val="0"/>
      <w:divBdr>
        <w:top w:val="none" w:sz="0" w:space="0" w:color="auto"/>
        <w:left w:val="none" w:sz="0" w:space="0" w:color="auto"/>
        <w:bottom w:val="none" w:sz="0" w:space="0" w:color="auto"/>
        <w:right w:val="none" w:sz="0" w:space="0" w:color="auto"/>
      </w:divBdr>
    </w:div>
    <w:div w:id="151723429">
      <w:bodyDiv w:val="1"/>
      <w:marLeft w:val="0"/>
      <w:marRight w:val="0"/>
      <w:marTop w:val="0"/>
      <w:marBottom w:val="0"/>
      <w:divBdr>
        <w:top w:val="none" w:sz="0" w:space="0" w:color="auto"/>
        <w:left w:val="none" w:sz="0" w:space="0" w:color="auto"/>
        <w:bottom w:val="none" w:sz="0" w:space="0" w:color="auto"/>
        <w:right w:val="none" w:sz="0" w:space="0" w:color="auto"/>
      </w:divBdr>
    </w:div>
    <w:div w:id="201482027">
      <w:bodyDiv w:val="1"/>
      <w:marLeft w:val="0"/>
      <w:marRight w:val="0"/>
      <w:marTop w:val="0"/>
      <w:marBottom w:val="0"/>
      <w:divBdr>
        <w:top w:val="none" w:sz="0" w:space="0" w:color="auto"/>
        <w:left w:val="none" w:sz="0" w:space="0" w:color="auto"/>
        <w:bottom w:val="none" w:sz="0" w:space="0" w:color="auto"/>
        <w:right w:val="none" w:sz="0" w:space="0" w:color="auto"/>
      </w:divBdr>
    </w:div>
    <w:div w:id="377895073">
      <w:bodyDiv w:val="1"/>
      <w:marLeft w:val="0"/>
      <w:marRight w:val="0"/>
      <w:marTop w:val="0"/>
      <w:marBottom w:val="0"/>
      <w:divBdr>
        <w:top w:val="none" w:sz="0" w:space="0" w:color="auto"/>
        <w:left w:val="none" w:sz="0" w:space="0" w:color="auto"/>
        <w:bottom w:val="none" w:sz="0" w:space="0" w:color="auto"/>
        <w:right w:val="none" w:sz="0" w:space="0" w:color="auto"/>
      </w:divBdr>
    </w:div>
    <w:div w:id="576941998">
      <w:bodyDiv w:val="1"/>
      <w:marLeft w:val="0"/>
      <w:marRight w:val="0"/>
      <w:marTop w:val="0"/>
      <w:marBottom w:val="0"/>
      <w:divBdr>
        <w:top w:val="none" w:sz="0" w:space="0" w:color="auto"/>
        <w:left w:val="none" w:sz="0" w:space="0" w:color="auto"/>
        <w:bottom w:val="none" w:sz="0" w:space="0" w:color="auto"/>
        <w:right w:val="none" w:sz="0" w:space="0" w:color="auto"/>
      </w:divBdr>
    </w:div>
    <w:div w:id="1097216242">
      <w:bodyDiv w:val="1"/>
      <w:marLeft w:val="0"/>
      <w:marRight w:val="0"/>
      <w:marTop w:val="0"/>
      <w:marBottom w:val="0"/>
      <w:divBdr>
        <w:top w:val="none" w:sz="0" w:space="0" w:color="auto"/>
        <w:left w:val="none" w:sz="0" w:space="0" w:color="auto"/>
        <w:bottom w:val="none" w:sz="0" w:space="0" w:color="auto"/>
        <w:right w:val="none" w:sz="0" w:space="0" w:color="auto"/>
      </w:divBdr>
    </w:div>
    <w:div w:id="1196893169">
      <w:bodyDiv w:val="1"/>
      <w:marLeft w:val="0"/>
      <w:marRight w:val="0"/>
      <w:marTop w:val="0"/>
      <w:marBottom w:val="0"/>
      <w:divBdr>
        <w:top w:val="none" w:sz="0" w:space="0" w:color="auto"/>
        <w:left w:val="none" w:sz="0" w:space="0" w:color="auto"/>
        <w:bottom w:val="none" w:sz="0" w:space="0" w:color="auto"/>
        <w:right w:val="none" w:sz="0" w:space="0" w:color="auto"/>
      </w:divBdr>
    </w:div>
    <w:div w:id="1345279164">
      <w:bodyDiv w:val="1"/>
      <w:marLeft w:val="0"/>
      <w:marRight w:val="0"/>
      <w:marTop w:val="0"/>
      <w:marBottom w:val="0"/>
      <w:divBdr>
        <w:top w:val="none" w:sz="0" w:space="0" w:color="auto"/>
        <w:left w:val="none" w:sz="0" w:space="0" w:color="auto"/>
        <w:bottom w:val="none" w:sz="0" w:space="0" w:color="auto"/>
        <w:right w:val="none" w:sz="0" w:space="0" w:color="auto"/>
      </w:divBdr>
    </w:div>
    <w:div w:id="1483160779">
      <w:bodyDiv w:val="1"/>
      <w:marLeft w:val="0"/>
      <w:marRight w:val="0"/>
      <w:marTop w:val="0"/>
      <w:marBottom w:val="0"/>
      <w:divBdr>
        <w:top w:val="none" w:sz="0" w:space="0" w:color="auto"/>
        <w:left w:val="none" w:sz="0" w:space="0" w:color="auto"/>
        <w:bottom w:val="none" w:sz="0" w:space="0" w:color="auto"/>
        <w:right w:val="none" w:sz="0" w:space="0" w:color="auto"/>
      </w:divBdr>
    </w:div>
    <w:div w:id="19400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F1893-E28D-4EB9-A9B5-EB66440F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29429</Words>
  <Characters>185406</Characters>
  <Application>Microsoft Office Word</Application>
  <DocSecurity>0</DocSecurity>
  <Lines>1545</Lines>
  <Paragraphs>428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 Lajewski</dc:creator>
  <cp:keywords/>
  <dc:description/>
  <cp:lastModifiedBy>Koß, Alexander</cp:lastModifiedBy>
  <cp:revision>6</cp:revision>
  <dcterms:created xsi:type="dcterms:W3CDTF">2026-02-24T07:26:00Z</dcterms:created>
  <dcterms:modified xsi:type="dcterms:W3CDTF">2026-02-24T19:09:00Z</dcterms:modified>
</cp:coreProperties>
</file>